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B7C0" w14:textId="77777777" w:rsidR="00BB4B68" w:rsidRDefault="00BB4B68" w:rsidP="00BB4B68">
      <w:pPr>
        <w:spacing w:after="0"/>
        <w:rPr>
          <w:sz w:val="15"/>
          <w:szCs w:val="15"/>
        </w:rPr>
      </w:pPr>
      <w:bookmarkStart w:id="0" w:name="Annex1"/>
      <w:r>
        <w:rPr>
          <w:noProof/>
          <w:sz w:val="15"/>
          <w:szCs w:val="15"/>
          <w:lang w:eastAsia="nl-NL"/>
        </w:rPr>
        <w:drawing>
          <wp:anchor distT="0" distB="0" distL="114300" distR="114300" simplePos="0" relativeHeight="251659264" behindDoc="0" locked="0" layoutInCell="1" allowOverlap="1" wp14:anchorId="7D8237D7" wp14:editId="07A5278C">
            <wp:simplePos x="0" y="0"/>
            <wp:positionH relativeFrom="margin">
              <wp:align>right</wp:align>
            </wp:positionH>
            <wp:positionV relativeFrom="paragraph">
              <wp:posOffset>5715</wp:posOffset>
            </wp:positionV>
            <wp:extent cx="647065" cy="138049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DP logo BLUE with black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065" cy="1380490"/>
                    </a:xfrm>
                    <a:prstGeom prst="rect">
                      <a:avLst/>
                    </a:prstGeom>
                  </pic:spPr>
                </pic:pic>
              </a:graphicData>
            </a:graphic>
          </wp:anchor>
        </w:drawing>
      </w:r>
      <w:r w:rsidRPr="00E3519C">
        <w:rPr>
          <w:noProof/>
          <w:sz w:val="15"/>
          <w:szCs w:val="15"/>
          <w:lang w:eastAsia="nl-NL"/>
        </w:rPr>
        <w:drawing>
          <wp:anchor distT="0" distB="0" distL="114300" distR="114300" simplePos="0" relativeHeight="251660288" behindDoc="1" locked="0" layoutInCell="1" allowOverlap="1" wp14:anchorId="65EAE3D3" wp14:editId="7F32F7CE">
            <wp:simplePos x="0" y="0"/>
            <wp:positionH relativeFrom="margin">
              <wp:align>left</wp:align>
            </wp:positionH>
            <wp:positionV relativeFrom="paragraph">
              <wp:posOffset>116663</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w="9525">
                      <a:noFill/>
                      <a:miter lim="800000"/>
                      <a:headEnd/>
                      <a:tailEnd/>
                    </a:ln>
                  </pic:spPr>
                </pic:pic>
              </a:graphicData>
            </a:graphic>
          </wp:anchor>
        </w:drawing>
      </w:r>
    </w:p>
    <w:p w14:paraId="5DBF2C6C" w14:textId="77777777" w:rsidR="00BB4B68" w:rsidRDefault="00BB4B68" w:rsidP="00BB4B68">
      <w:pPr>
        <w:ind w:left="720" w:firstLine="720"/>
        <w:rPr>
          <w:sz w:val="15"/>
          <w:szCs w:val="15"/>
        </w:rPr>
      </w:pPr>
    </w:p>
    <w:p w14:paraId="0A1805C0" w14:textId="77777777" w:rsidR="00BB4B68" w:rsidRDefault="00BB4B68" w:rsidP="00BB4B68">
      <w:pPr>
        <w:ind w:left="720" w:firstLine="720"/>
        <w:rPr>
          <w:sz w:val="15"/>
          <w:szCs w:val="15"/>
        </w:rPr>
      </w:pPr>
    </w:p>
    <w:p w14:paraId="56A15A69" w14:textId="77777777" w:rsidR="00BB4B68" w:rsidRDefault="00BB4B68" w:rsidP="00BB4B68">
      <w:pPr>
        <w:ind w:left="720" w:firstLine="720"/>
        <w:rPr>
          <w:rFonts w:cs="Arial"/>
          <w:b/>
        </w:rPr>
      </w:pPr>
    </w:p>
    <w:bookmarkEnd w:id="0"/>
    <w:p w14:paraId="071648D0" w14:textId="77777777" w:rsidR="00BB4B68" w:rsidRPr="00BB4B68" w:rsidRDefault="00BB4B68" w:rsidP="00BB4B68">
      <w:pPr>
        <w:spacing w:after="240"/>
        <w:jc w:val="center"/>
        <w:rPr>
          <w:rFonts w:cs="Arial"/>
          <w:b/>
          <w:lang w:val="en-US"/>
        </w:rPr>
      </w:pPr>
      <w:r w:rsidRPr="00BB4B68">
        <w:rPr>
          <w:rFonts w:cs="Arial"/>
          <w:b/>
          <w:lang w:val="en-US"/>
        </w:rPr>
        <w:t>United Nations Development Programme</w:t>
      </w:r>
    </w:p>
    <w:p w14:paraId="7CF3FECB" w14:textId="77777777" w:rsidR="00BB4B68" w:rsidRPr="00BB4B68" w:rsidRDefault="00BB4B68" w:rsidP="00BB4B68">
      <w:pPr>
        <w:spacing w:after="0"/>
        <w:jc w:val="center"/>
        <w:rPr>
          <w:rFonts w:cs="Arial"/>
          <w:b/>
          <w:lang w:val="en-US"/>
        </w:rPr>
      </w:pPr>
      <w:r w:rsidRPr="00BB4B68">
        <w:rPr>
          <w:rFonts w:cs="Arial"/>
          <w:b/>
          <w:lang w:val="en-US"/>
        </w:rPr>
        <w:t xml:space="preserve">Annotated Project Document template for nationally executed projects </w:t>
      </w:r>
    </w:p>
    <w:p w14:paraId="3782AA88" w14:textId="77777777" w:rsidR="00BB4B68" w:rsidRPr="00BB4B68" w:rsidRDefault="00BB4B68" w:rsidP="00BB4B68">
      <w:pPr>
        <w:spacing w:after="0"/>
        <w:jc w:val="center"/>
        <w:rPr>
          <w:rFonts w:cs="Arial"/>
          <w:b/>
          <w:lang w:val="en-US"/>
        </w:rPr>
      </w:pPr>
      <w:r w:rsidRPr="00BB4B68">
        <w:rPr>
          <w:rFonts w:cs="Arial"/>
          <w:b/>
          <w:lang w:val="en-US"/>
        </w:rPr>
        <w:t xml:space="preserve">Financed by the GEF Trust Fund, and the GEF LDCF and GEF SCCF Trust Funds </w:t>
      </w:r>
    </w:p>
    <w:p w14:paraId="2AD4F5C1" w14:textId="77777777" w:rsidR="00BB4B68" w:rsidRPr="00BB4B68" w:rsidRDefault="00BB4B68" w:rsidP="00BB4B68">
      <w:pPr>
        <w:spacing w:after="0"/>
        <w:rPr>
          <w:rFonts w:cs="Arial"/>
          <w:b/>
          <w:i/>
          <w:szCs w:val="20"/>
          <w:lang w:val="en-US"/>
        </w:rPr>
      </w:pPr>
    </w:p>
    <w:p w14:paraId="46E4B87E" w14:textId="77777777" w:rsidR="00BB4B68" w:rsidRPr="00BB4B68" w:rsidRDefault="00BB4B68" w:rsidP="00BB4B68">
      <w:pPr>
        <w:spacing w:after="0"/>
        <w:rPr>
          <w:rFonts w:cs="Arial"/>
          <w:i/>
          <w:szCs w:val="20"/>
          <w:lang w:val="en-US"/>
        </w:rPr>
      </w:pPr>
    </w:p>
    <w:tbl>
      <w:tblPr>
        <w:tblStyle w:val="TableGrid"/>
        <w:tblW w:w="9493" w:type="dxa"/>
        <w:tblLayout w:type="fixed"/>
        <w:tblLook w:val="04A0" w:firstRow="1" w:lastRow="0" w:firstColumn="1" w:lastColumn="0" w:noHBand="0" w:noVBand="1"/>
      </w:tblPr>
      <w:tblGrid>
        <w:gridCol w:w="2509"/>
        <w:gridCol w:w="609"/>
        <w:gridCol w:w="1017"/>
        <w:gridCol w:w="884"/>
        <w:gridCol w:w="736"/>
        <w:gridCol w:w="360"/>
        <w:gridCol w:w="121"/>
        <w:gridCol w:w="3257"/>
      </w:tblGrid>
      <w:tr w:rsidR="00BB4B68" w:rsidRPr="00EE3E21" w14:paraId="774D118D" w14:textId="77777777" w:rsidTr="00F005AC">
        <w:trPr>
          <w:trHeight w:val="548"/>
        </w:trPr>
        <w:tc>
          <w:tcPr>
            <w:tcW w:w="9493" w:type="dxa"/>
            <w:gridSpan w:val="8"/>
            <w:shd w:val="clear" w:color="auto" w:fill="auto"/>
          </w:tcPr>
          <w:p w14:paraId="4F868946" w14:textId="6E2F2EF4" w:rsidR="00BB4B68" w:rsidRPr="00BB4B68" w:rsidRDefault="00BB4B68" w:rsidP="00BB4B68">
            <w:pPr>
              <w:spacing w:after="240"/>
              <w:rPr>
                <w:rFonts w:cs="Arial"/>
                <w:b/>
                <w:szCs w:val="20"/>
                <w:lang w:val="en-US"/>
              </w:rPr>
            </w:pPr>
            <w:r w:rsidRPr="00BB4B68">
              <w:rPr>
                <w:rFonts w:cs="Arial"/>
                <w:b/>
                <w:szCs w:val="20"/>
                <w:lang w:val="en-US"/>
              </w:rPr>
              <w:t xml:space="preserve">Project title:  </w:t>
            </w:r>
            <w:r w:rsidR="00CD401D" w:rsidRPr="00CD401D">
              <w:rPr>
                <w:rFonts w:cs="Arial"/>
                <w:b/>
                <w:szCs w:val="20"/>
                <w:lang w:val="en-US"/>
              </w:rPr>
              <w:t>Artisanal and Small-Scale Gold Mining (ASGM) National Action Plan (NAP) for Suriname</w:t>
            </w:r>
          </w:p>
        </w:tc>
      </w:tr>
      <w:tr w:rsidR="00BB4B68" w:rsidRPr="00EE3E21" w14:paraId="6A364227" w14:textId="77777777" w:rsidTr="00F005AC">
        <w:tc>
          <w:tcPr>
            <w:tcW w:w="2509" w:type="dxa"/>
          </w:tcPr>
          <w:p w14:paraId="62A7473B" w14:textId="77777777" w:rsidR="00BB4B68" w:rsidRPr="000B3D4F" w:rsidRDefault="00BB4B68" w:rsidP="00FA7F6B">
            <w:pPr>
              <w:spacing w:after="240"/>
              <w:rPr>
                <w:rFonts w:cs="Arial"/>
                <w:b/>
                <w:szCs w:val="20"/>
              </w:rPr>
            </w:pPr>
            <w:r w:rsidRPr="000B3D4F">
              <w:rPr>
                <w:rFonts w:cs="Arial"/>
                <w:b/>
                <w:szCs w:val="20"/>
              </w:rPr>
              <w:t xml:space="preserve">Country:  </w:t>
            </w:r>
            <w:r>
              <w:rPr>
                <w:rFonts w:cs="Arial"/>
                <w:b/>
                <w:szCs w:val="20"/>
              </w:rPr>
              <w:t>Suriname</w:t>
            </w:r>
          </w:p>
        </w:tc>
        <w:tc>
          <w:tcPr>
            <w:tcW w:w="3606" w:type="dxa"/>
            <w:gridSpan w:val="5"/>
          </w:tcPr>
          <w:p w14:paraId="466489C2" w14:textId="77777777" w:rsidR="00BB4B68" w:rsidRPr="00BB4B68" w:rsidRDefault="00BB4B68" w:rsidP="00FA7F6B">
            <w:pPr>
              <w:spacing w:after="240"/>
              <w:rPr>
                <w:rFonts w:cs="Arial"/>
                <w:b/>
                <w:szCs w:val="20"/>
                <w:lang w:val="en-US"/>
              </w:rPr>
            </w:pPr>
            <w:r w:rsidRPr="00BB4B68">
              <w:rPr>
                <w:rFonts w:cs="Arial"/>
                <w:b/>
                <w:szCs w:val="20"/>
                <w:lang w:val="en-US"/>
              </w:rPr>
              <w:t xml:space="preserve">Implementing Partner:  </w:t>
            </w:r>
            <w:r w:rsidRPr="00BB4B68">
              <w:rPr>
                <w:rFonts w:cs="Arial"/>
                <w:i/>
                <w:szCs w:val="20"/>
                <w:lang w:val="en-US"/>
              </w:rPr>
              <w:t>National Institute for Environment and Development (NIMOS)</w:t>
            </w:r>
          </w:p>
        </w:tc>
        <w:tc>
          <w:tcPr>
            <w:tcW w:w="3378" w:type="dxa"/>
            <w:gridSpan w:val="2"/>
          </w:tcPr>
          <w:p w14:paraId="1A05C3D3" w14:textId="77777777" w:rsidR="00BB4B68" w:rsidRPr="00DF65E2" w:rsidRDefault="00BB4B68" w:rsidP="00FA7F6B">
            <w:pPr>
              <w:spacing w:after="240"/>
              <w:rPr>
                <w:rFonts w:cs="Arial"/>
                <w:i/>
                <w:szCs w:val="20"/>
                <w:lang w:val="fr-FR"/>
              </w:rPr>
            </w:pPr>
            <w:r>
              <w:rPr>
                <w:rFonts w:cs="Arial"/>
                <w:b/>
                <w:szCs w:val="20"/>
                <w:lang w:val="fr-FR"/>
              </w:rPr>
              <w:t xml:space="preserve">Management Arrangements: </w:t>
            </w:r>
            <w:r w:rsidRPr="00DF65E2">
              <w:rPr>
                <w:rFonts w:cs="Arial"/>
                <w:szCs w:val="20"/>
                <w:lang w:val="fr-FR"/>
              </w:rPr>
              <w:t>National Implementation Modality (NIM)</w:t>
            </w:r>
            <w:r w:rsidRPr="00DF65E2">
              <w:rPr>
                <w:rFonts w:cs="Arial"/>
                <w:i/>
                <w:szCs w:val="20"/>
                <w:lang w:val="fr-FR"/>
              </w:rPr>
              <w:t xml:space="preserve"> </w:t>
            </w:r>
          </w:p>
        </w:tc>
      </w:tr>
      <w:tr w:rsidR="00BB4B68" w:rsidRPr="00BB4B68" w14:paraId="6B355C43" w14:textId="77777777" w:rsidTr="00F005AC">
        <w:tc>
          <w:tcPr>
            <w:tcW w:w="9493" w:type="dxa"/>
            <w:gridSpan w:val="8"/>
            <w:shd w:val="clear" w:color="auto" w:fill="auto"/>
          </w:tcPr>
          <w:p w14:paraId="3E94BD77" w14:textId="56795E63" w:rsidR="00BB4B68" w:rsidRPr="00BB4B68" w:rsidRDefault="0054766D" w:rsidP="00FA7F6B">
            <w:pPr>
              <w:spacing w:after="240"/>
              <w:rPr>
                <w:rFonts w:cs="Arial"/>
                <w:b/>
                <w:szCs w:val="20"/>
                <w:lang w:val="en-US"/>
              </w:rPr>
            </w:pPr>
            <w:r w:rsidRPr="0054766D">
              <w:rPr>
                <w:rFonts w:cs="Arial"/>
                <w:b/>
                <w:szCs w:val="20"/>
                <w:lang w:val="en-US"/>
              </w:rPr>
              <w:t xml:space="preserve">UNMSDF OUTCOME INVOLVING UNDP </w:t>
            </w:r>
            <w:r w:rsidR="00BB4B68" w:rsidRPr="00BB4B68">
              <w:rPr>
                <w:rFonts w:cs="Arial"/>
                <w:b/>
                <w:szCs w:val="20"/>
                <w:lang w:val="en-US"/>
              </w:rPr>
              <w:t>/Country Programme Outcome</w:t>
            </w:r>
            <w:r w:rsidRPr="0054766D">
              <w:rPr>
                <w:rFonts w:cs="Arial"/>
                <w:i/>
                <w:szCs w:val="20"/>
                <w:lang w:val="en-US"/>
              </w:rPr>
              <w:t>: Inclusive and sustainable solutions adopted for the conservation, restoration and use of ecosystems and natural resources. (A Sustainable and Resilient Caribbean)</w:t>
            </w:r>
            <w:r w:rsidR="00960D29">
              <w:rPr>
                <w:rFonts w:cs="Arial"/>
                <w:i/>
                <w:szCs w:val="20"/>
                <w:lang w:val="en-US"/>
              </w:rPr>
              <w:t xml:space="preserve"> </w:t>
            </w:r>
          </w:p>
        </w:tc>
      </w:tr>
      <w:tr w:rsidR="00BB4B68" w:rsidRPr="00EE3E21" w14:paraId="03E562BB" w14:textId="77777777" w:rsidTr="00F005AC">
        <w:tc>
          <w:tcPr>
            <w:tcW w:w="9493" w:type="dxa"/>
            <w:gridSpan w:val="8"/>
          </w:tcPr>
          <w:p w14:paraId="792174F7" w14:textId="77777777" w:rsidR="00BB4B68" w:rsidRPr="00BB4B68" w:rsidRDefault="00BB4B68" w:rsidP="00FA7F6B">
            <w:pPr>
              <w:spacing w:after="240"/>
              <w:rPr>
                <w:rFonts w:cs="Arial"/>
                <w:b/>
                <w:szCs w:val="20"/>
                <w:lang w:val="en-US"/>
              </w:rPr>
            </w:pPr>
            <w:r w:rsidRPr="00BB4B68">
              <w:rPr>
                <w:rFonts w:cs="Arial"/>
                <w:b/>
                <w:szCs w:val="20"/>
                <w:lang w:val="en-US"/>
              </w:rPr>
              <w:t xml:space="preserve">UNDP Strategic Plan Output: </w:t>
            </w:r>
          </w:p>
          <w:p w14:paraId="13912709" w14:textId="77777777" w:rsidR="00BB4B68" w:rsidRPr="0054766D" w:rsidRDefault="00BB4B68" w:rsidP="00FA7F6B">
            <w:pPr>
              <w:rPr>
                <w:rFonts w:cs="Arial"/>
                <w:szCs w:val="20"/>
                <w:lang w:val="en-US"/>
              </w:rPr>
            </w:pPr>
            <w:r w:rsidRPr="0054766D">
              <w:rPr>
                <w:rFonts w:cs="Arial"/>
                <w:szCs w:val="20"/>
                <w:lang w:val="en-US"/>
              </w:rPr>
              <w:t>Output 1.3:  Solutions developed at national and sub-national levels for sustainable management of natural resources, ecosystem services, chemicals and waste.</w:t>
            </w:r>
          </w:p>
          <w:p w14:paraId="42934F20" w14:textId="77777777" w:rsidR="00BB4B68" w:rsidRPr="00BB4B68" w:rsidRDefault="00BB4B68" w:rsidP="00FA7F6B">
            <w:pPr>
              <w:rPr>
                <w:bCs/>
                <w:szCs w:val="20"/>
                <w:lang w:val="en-US"/>
              </w:rPr>
            </w:pPr>
            <w:r w:rsidRPr="0054766D">
              <w:rPr>
                <w:bCs/>
                <w:szCs w:val="20"/>
                <w:lang w:val="en-US"/>
              </w:rPr>
              <w:t>Indicator 1.3.1:  Number of new partnership mechanisms with funding for sustainable management solutions of natural resources, ecosystem services, chemicals and waste at national and/or subnational level.</w:t>
            </w:r>
          </w:p>
          <w:p w14:paraId="284F43B6" w14:textId="77777777" w:rsidR="00BB4B68" w:rsidRPr="00BB4B68" w:rsidRDefault="00BB4B68" w:rsidP="00FA7F6B">
            <w:pPr>
              <w:rPr>
                <w:bCs/>
                <w:szCs w:val="20"/>
                <w:lang w:val="en-US"/>
              </w:rPr>
            </w:pPr>
          </w:p>
        </w:tc>
      </w:tr>
      <w:tr w:rsidR="00BB4B68" w:rsidRPr="000B3D4F" w14:paraId="3C0A5FA4" w14:textId="77777777" w:rsidTr="00F005AC">
        <w:tc>
          <w:tcPr>
            <w:tcW w:w="5019" w:type="dxa"/>
            <w:gridSpan w:val="4"/>
          </w:tcPr>
          <w:p w14:paraId="12094999" w14:textId="77777777" w:rsidR="00BB4B68" w:rsidRPr="00BB4B68" w:rsidRDefault="00BB4B68" w:rsidP="00FA7F6B">
            <w:pPr>
              <w:spacing w:after="240"/>
              <w:rPr>
                <w:rFonts w:cs="Arial"/>
                <w:i/>
                <w:szCs w:val="20"/>
                <w:lang w:val="en-US"/>
              </w:rPr>
            </w:pPr>
            <w:r w:rsidRPr="00BB4B68">
              <w:rPr>
                <w:rFonts w:cs="Arial"/>
                <w:b/>
                <w:szCs w:val="20"/>
                <w:lang w:val="en-US"/>
              </w:rPr>
              <w:t xml:space="preserve">UNDP Social and Environmental Screening Category:  </w:t>
            </w:r>
            <w:r w:rsidRPr="00BB4B68">
              <w:rPr>
                <w:rFonts w:cs="Arial"/>
                <w:i/>
                <w:szCs w:val="20"/>
                <w:lang w:val="en-US"/>
              </w:rPr>
              <w:t>Low</w:t>
            </w:r>
          </w:p>
        </w:tc>
        <w:tc>
          <w:tcPr>
            <w:tcW w:w="4474" w:type="dxa"/>
            <w:gridSpan w:val="4"/>
          </w:tcPr>
          <w:p w14:paraId="095925C3" w14:textId="3EAD7EE5" w:rsidR="00BB4B68" w:rsidRPr="008B44D3" w:rsidRDefault="00BB4B68" w:rsidP="00FA7F6B">
            <w:pPr>
              <w:spacing w:after="240"/>
              <w:rPr>
                <w:rFonts w:cs="Segoe UI"/>
                <w:color w:val="000000"/>
                <w:szCs w:val="20"/>
              </w:rPr>
            </w:pPr>
            <w:r w:rsidRPr="008B44D3">
              <w:rPr>
                <w:rFonts w:cs="Arial"/>
                <w:b/>
                <w:szCs w:val="20"/>
              </w:rPr>
              <w:t xml:space="preserve">UNDP Gender Marker: </w:t>
            </w:r>
            <w:r w:rsidR="00E2231E">
              <w:rPr>
                <w:rFonts w:cs="Arial"/>
                <w:i/>
                <w:szCs w:val="20"/>
              </w:rPr>
              <w:t>2</w:t>
            </w:r>
          </w:p>
        </w:tc>
      </w:tr>
      <w:tr w:rsidR="00BB4B68" w:rsidRPr="00EE3E21" w14:paraId="37490C78" w14:textId="77777777" w:rsidTr="00F005AC">
        <w:tc>
          <w:tcPr>
            <w:tcW w:w="5019" w:type="dxa"/>
            <w:gridSpan w:val="4"/>
            <w:shd w:val="clear" w:color="auto" w:fill="auto"/>
          </w:tcPr>
          <w:p w14:paraId="7503DA16" w14:textId="0DF509BB" w:rsidR="00BB4B68" w:rsidRPr="00BB4B68" w:rsidRDefault="00BB4B68" w:rsidP="00FA7F6B">
            <w:pPr>
              <w:spacing w:after="240"/>
              <w:rPr>
                <w:rFonts w:cs="Arial"/>
                <w:szCs w:val="20"/>
                <w:lang w:val="en-US" w:eastAsia="zh-CN"/>
              </w:rPr>
            </w:pPr>
            <w:r w:rsidRPr="00BB4B68">
              <w:rPr>
                <w:rFonts w:cs="Arial"/>
                <w:b/>
                <w:szCs w:val="20"/>
                <w:lang w:val="en-US"/>
              </w:rPr>
              <w:t xml:space="preserve">Atlas </w:t>
            </w:r>
            <w:r w:rsidRPr="00BB4B68">
              <w:rPr>
                <w:rFonts w:cs="Arial"/>
                <w:b/>
                <w:szCs w:val="20"/>
                <w:lang w:val="en-US" w:eastAsia="zh-CN"/>
              </w:rPr>
              <w:t>Proposal/</w:t>
            </w:r>
            <w:r w:rsidRPr="00BB4B68">
              <w:rPr>
                <w:rFonts w:cs="Arial"/>
                <w:b/>
                <w:szCs w:val="20"/>
                <w:lang w:val="en-US"/>
              </w:rPr>
              <w:t xml:space="preserve">Award ID (also known as ‘project’):  </w:t>
            </w:r>
            <w:bookmarkStart w:id="1" w:name="_Hlk497490767"/>
            <w:r w:rsidR="00F005AC" w:rsidRPr="00F005AC">
              <w:rPr>
                <w:rFonts w:cs="Arial"/>
                <w:i/>
                <w:szCs w:val="20"/>
                <w:lang w:val="en-US"/>
              </w:rPr>
              <w:t>00099303</w:t>
            </w:r>
            <w:bookmarkEnd w:id="1"/>
          </w:p>
        </w:tc>
        <w:tc>
          <w:tcPr>
            <w:tcW w:w="4474" w:type="dxa"/>
            <w:gridSpan w:val="4"/>
            <w:shd w:val="clear" w:color="auto" w:fill="auto"/>
          </w:tcPr>
          <w:p w14:paraId="2FD27115" w14:textId="0C82F44C" w:rsidR="00BB4B68" w:rsidRPr="00364C06" w:rsidRDefault="00BB4B68" w:rsidP="00FA7F6B">
            <w:pPr>
              <w:rPr>
                <w:rFonts w:cs="Arial"/>
                <w:b/>
                <w:szCs w:val="20"/>
                <w:lang w:val="en-US"/>
              </w:rPr>
            </w:pPr>
            <w:r w:rsidRPr="00364C06">
              <w:rPr>
                <w:rFonts w:cs="Arial"/>
                <w:b/>
                <w:szCs w:val="20"/>
                <w:lang w:val="en-US"/>
              </w:rPr>
              <w:t xml:space="preserve">Atlas </w:t>
            </w:r>
            <w:r w:rsidRPr="00364C06">
              <w:rPr>
                <w:rFonts w:cs="Arial"/>
                <w:b/>
                <w:szCs w:val="20"/>
                <w:lang w:val="en-US" w:eastAsia="zh-CN"/>
              </w:rPr>
              <w:t xml:space="preserve">output </w:t>
            </w:r>
            <w:r w:rsidRPr="00364C06">
              <w:rPr>
                <w:rFonts w:cs="Arial"/>
                <w:b/>
                <w:szCs w:val="20"/>
                <w:lang w:val="en-US"/>
              </w:rPr>
              <w:t xml:space="preserve">Project ID (also known as ‘output’):  </w:t>
            </w:r>
            <w:r w:rsidR="00F005AC" w:rsidRPr="00F005AC">
              <w:rPr>
                <w:rFonts w:cs="Arial"/>
                <w:i/>
                <w:szCs w:val="20"/>
                <w:lang w:val="en-US"/>
              </w:rPr>
              <w:t>00102618</w:t>
            </w:r>
          </w:p>
        </w:tc>
      </w:tr>
      <w:tr w:rsidR="00BB4B68" w:rsidRPr="000B3D4F" w14:paraId="634039F1" w14:textId="77777777" w:rsidTr="00F005AC">
        <w:tc>
          <w:tcPr>
            <w:tcW w:w="5019" w:type="dxa"/>
            <w:gridSpan w:val="4"/>
            <w:shd w:val="clear" w:color="auto" w:fill="auto"/>
          </w:tcPr>
          <w:p w14:paraId="08702945" w14:textId="14B6FB14" w:rsidR="00BB4B68" w:rsidRPr="000B3D4F" w:rsidRDefault="00BB4B68" w:rsidP="00FA7F6B">
            <w:pPr>
              <w:spacing w:after="240"/>
              <w:rPr>
                <w:rFonts w:cs="Arial"/>
                <w:b/>
                <w:szCs w:val="20"/>
              </w:rPr>
            </w:pPr>
            <w:r w:rsidRPr="000B3D4F">
              <w:rPr>
                <w:rFonts w:cs="Arial"/>
                <w:b/>
                <w:szCs w:val="20"/>
              </w:rPr>
              <w:t>UNDP-GEF PIMS ID</w:t>
            </w:r>
            <w:r w:rsidRPr="00364C06">
              <w:rPr>
                <w:rFonts w:cs="Arial"/>
                <w:b/>
                <w:szCs w:val="20"/>
              </w:rPr>
              <w:t xml:space="preserve">: </w:t>
            </w:r>
            <w:r w:rsidR="00F005AC">
              <w:rPr>
                <w:rFonts w:cs="Arial"/>
                <w:szCs w:val="20"/>
              </w:rPr>
              <w:t>5725</w:t>
            </w:r>
            <w:r w:rsidR="00F005AC" w:rsidRPr="00572250">
              <w:rPr>
                <w:rFonts w:cs="Arial"/>
                <w:szCs w:val="20"/>
              </w:rPr>
              <w:t xml:space="preserve"> </w:t>
            </w:r>
          </w:p>
        </w:tc>
        <w:tc>
          <w:tcPr>
            <w:tcW w:w="4474" w:type="dxa"/>
            <w:gridSpan w:val="4"/>
            <w:shd w:val="clear" w:color="auto" w:fill="auto"/>
          </w:tcPr>
          <w:p w14:paraId="51EBEF18" w14:textId="4ACAF047" w:rsidR="00BB4B68" w:rsidRPr="00364C06" w:rsidRDefault="00BB4B68" w:rsidP="00FA7F6B">
            <w:pPr>
              <w:spacing w:after="240"/>
              <w:rPr>
                <w:rFonts w:cs="Arial"/>
                <w:szCs w:val="20"/>
              </w:rPr>
            </w:pPr>
            <w:r w:rsidRPr="00364C06">
              <w:rPr>
                <w:rFonts w:cs="Arial"/>
                <w:b/>
                <w:szCs w:val="20"/>
              </w:rPr>
              <w:t xml:space="preserve">GEF ID: </w:t>
            </w:r>
            <w:r w:rsidR="00F005AC" w:rsidRPr="00F005AC">
              <w:rPr>
                <w:rFonts w:cs="Arial"/>
                <w:szCs w:val="20"/>
              </w:rPr>
              <w:t>9489</w:t>
            </w:r>
          </w:p>
        </w:tc>
      </w:tr>
      <w:tr w:rsidR="00BB4B68" w:rsidRPr="000B3D4F" w14:paraId="61C73B3F" w14:textId="77777777" w:rsidTr="00F005AC">
        <w:tc>
          <w:tcPr>
            <w:tcW w:w="3118" w:type="dxa"/>
            <w:gridSpan w:val="2"/>
          </w:tcPr>
          <w:p w14:paraId="31FBC4AB" w14:textId="63B32D15" w:rsidR="00BB4B68" w:rsidRPr="000B3D4F" w:rsidRDefault="00BB4B68" w:rsidP="00CD401D">
            <w:pPr>
              <w:spacing w:after="240"/>
              <w:rPr>
                <w:rFonts w:cs="Arial"/>
                <w:b/>
                <w:szCs w:val="20"/>
              </w:rPr>
            </w:pPr>
            <w:r>
              <w:rPr>
                <w:rFonts w:cs="Arial"/>
                <w:b/>
                <w:szCs w:val="20"/>
              </w:rPr>
              <w:t xml:space="preserve">PAC meeting date: </w:t>
            </w:r>
            <w:r w:rsidR="009F35EA">
              <w:rPr>
                <w:rFonts w:cs="Arial"/>
                <w:b/>
                <w:szCs w:val="20"/>
              </w:rPr>
              <w:t>04 Sept 2017</w:t>
            </w:r>
          </w:p>
        </w:tc>
        <w:tc>
          <w:tcPr>
            <w:tcW w:w="3118" w:type="dxa"/>
            <w:gridSpan w:val="5"/>
          </w:tcPr>
          <w:p w14:paraId="22B4A01A" w14:textId="0BE74FD8" w:rsidR="00BB4B68" w:rsidRPr="000B3D4F" w:rsidRDefault="00BB4B68" w:rsidP="00FE0216">
            <w:pPr>
              <w:spacing w:after="240"/>
              <w:rPr>
                <w:rFonts w:cs="Arial"/>
                <w:b/>
                <w:szCs w:val="20"/>
              </w:rPr>
            </w:pPr>
            <w:r w:rsidRPr="000B3D4F">
              <w:rPr>
                <w:rFonts w:cs="Arial"/>
                <w:b/>
                <w:szCs w:val="20"/>
              </w:rPr>
              <w:t xml:space="preserve">Planned start date: </w:t>
            </w:r>
            <w:r w:rsidR="00F005AC">
              <w:rPr>
                <w:rFonts w:cs="Arial"/>
                <w:szCs w:val="20"/>
              </w:rPr>
              <w:t>Nov</w:t>
            </w:r>
            <w:r w:rsidR="00F005AC" w:rsidRPr="0054766D">
              <w:rPr>
                <w:rFonts w:cs="Arial"/>
                <w:szCs w:val="20"/>
              </w:rPr>
              <w:t xml:space="preserve"> </w:t>
            </w:r>
            <w:r w:rsidR="0054766D" w:rsidRPr="0054766D">
              <w:rPr>
                <w:rFonts w:cs="Arial"/>
                <w:szCs w:val="20"/>
              </w:rPr>
              <w:t>2017</w:t>
            </w:r>
          </w:p>
        </w:tc>
        <w:tc>
          <w:tcPr>
            <w:tcW w:w="3257" w:type="dxa"/>
          </w:tcPr>
          <w:p w14:paraId="066EBFF8" w14:textId="3D6D4267" w:rsidR="00BB4B68" w:rsidRPr="000B3D4F" w:rsidRDefault="00BB4B68" w:rsidP="00FE0216">
            <w:pPr>
              <w:spacing w:after="240"/>
              <w:rPr>
                <w:rFonts w:cs="Arial"/>
                <w:b/>
                <w:szCs w:val="20"/>
              </w:rPr>
            </w:pPr>
            <w:r w:rsidRPr="000B3D4F">
              <w:rPr>
                <w:rFonts w:cs="Arial"/>
                <w:b/>
                <w:szCs w:val="20"/>
              </w:rPr>
              <w:t xml:space="preserve">Planned end date:  </w:t>
            </w:r>
            <w:r w:rsidR="00F005AC">
              <w:rPr>
                <w:rFonts w:cs="Arial"/>
                <w:szCs w:val="20"/>
              </w:rPr>
              <w:t>Nov</w:t>
            </w:r>
            <w:r w:rsidR="00F005AC" w:rsidRPr="0054766D">
              <w:rPr>
                <w:rFonts w:cs="Arial"/>
                <w:szCs w:val="20"/>
              </w:rPr>
              <w:t xml:space="preserve"> </w:t>
            </w:r>
            <w:r w:rsidR="0054766D" w:rsidRPr="0054766D">
              <w:rPr>
                <w:rFonts w:cs="Arial"/>
                <w:szCs w:val="20"/>
              </w:rPr>
              <w:t>201</w:t>
            </w:r>
            <w:r w:rsidR="005D4623">
              <w:rPr>
                <w:rFonts w:cs="Arial"/>
                <w:szCs w:val="20"/>
              </w:rPr>
              <w:t>9</w:t>
            </w:r>
          </w:p>
        </w:tc>
      </w:tr>
      <w:tr w:rsidR="00BB4B68" w:rsidRPr="000B3D4F" w14:paraId="2758AB45" w14:textId="77777777" w:rsidTr="00F005AC">
        <w:tc>
          <w:tcPr>
            <w:tcW w:w="9493" w:type="dxa"/>
            <w:gridSpan w:val="8"/>
            <w:shd w:val="clear" w:color="auto" w:fill="D9D9D9" w:themeFill="background1" w:themeFillShade="D9"/>
          </w:tcPr>
          <w:p w14:paraId="3338DBE5" w14:textId="77777777" w:rsidR="00BB4B68" w:rsidRPr="000B3D4F" w:rsidRDefault="00BB4B68" w:rsidP="00FA7F6B">
            <w:pPr>
              <w:rPr>
                <w:rFonts w:cs="Arial"/>
                <w:b/>
                <w:smallCaps/>
                <w:szCs w:val="20"/>
              </w:rPr>
            </w:pPr>
            <w:r w:rsidRPr="000B3D4F">
              <w:rPr>
                <w:rFonts w:cs="Arial"/>
                <w:b/>
                <w:smallCaps/>
                <w:szCs w:val="20"/>
              </w:rPr>
              <w:t>Financing Plan</w:t>
            </w:r>
          </w:p>
        </w:tc>
      </w:tr>
      <w:tr w:rsidR="00BB4B68" w:rsidRPr="000B3D4F" w14:paraId="171D65D0" w14:textId="77777777" w:rsidTr="00F005AC">
        <w:tc>
          <w:tcPr>
            <w:tcW w:w="5019" w:type="dxa"/>
            <w:gridSpan w:val="4"/>
            <w:shd w:val="clear" w:color="auto" w:fill="auto"/>
          </w:tcPr>
          <w:p w14:paraId="0FAF500F" w14:textId="77777777" w:rsidR="00BB4B68" w:rsidRPr="00BB4B68" w:rsidRDefault="00BB4B68" w:rsidP="00FA7F6B">
            <w:pPr>
              <w:rPr>
                <w:rFonts w:cs="Arial"/>
                <w:szCs w:val="20"/>
                <w:lang w:val="en-US"/>
              </w:rPr>
            </w:pPr>
            <w:r w:rsidRPr="00BB4B68">
              <w:rPr>
                <w:rFonts w:cs="Arial"/>
                <w:szCs w:val="20"/>
                <w:lang w:val="en-US"/>
              </w:rPr>
              <w:t xml:space="preserve">GEF Trust Fund </w:t>
            </w:r>
            <w:r w:rsidRPr="00BB4B68">
              <w:rPr>
                <w:rFonts w:cs="Arial"/>
                <w:i/>
                <w:szCs w:val="20"/>
                <w:lang w:val="en-US"/>
              </w:rPr>
              <w:t>or LDCF or SCCF or other vertical fund</w:t>
            </w:r>
          </w:p>
        </w:tc>
        <w:tc>
          <w:tcPr>
            <w:tcW w:w="4474" w:type="dxa"/>
            <w:gridSpan w:val="4"/>
          </w:tcPr>
          <w:p w14:paraId="539F08B2" w14:textId="71D5C500" w:rsidR="00BB4B68" w:rsidRPr="00960D29" w:rsidRDefault="00BB4B68" w:rsidP="00CD401D">
            <w:pPr>
              <w:rPr>
                <w:rFonts w:cs="Arial"/>
                <w:szCs w:val="20"/>
              </w:rPr>
            </w:pPr>
            <w:r w:rsidRPr="00960D29">
              <w:rPr>
                <w:rFonts w:cs="Arial"/>
                <w:szCs w:val="20"/>
              </w:rPr>
              <w:t xml:space="preserve">USD </w:t>
            </w:r>
            <w:r w:rsidR="00CD401D" w:rsidRPr="00960D29">
              <w:rPr>
                <w:rFonts w:cs="Arial"/>
                <w:szCs w:val="20"/>
              </w:rPr>
              <w:t>5</w:t>
            </w:r>
            <w:r w:rsidRPr="00960D29">
              <w:rPr>
                <w:rFonts w:cs="Arial"/>
                <w:szCs w:val="20"/>
              </w:rPr>
              <w:t>00,000</w:t>
            </w:r>
          </w:p>
        </w:tc>
      </w:tr>
      <w:tr w:rsidR="00BB4B68" w:rsidRPr="000B3D4F" w14:paraId="69D3D499" w14:textId="77777777" w:rsidTr="00F005AC">
        <w:tc>
          <w:tcPr>
            <w:tcW w:w="5019" w:type="dxa"/>
            <w:gridSpan w:val="4"/>
            <w:shd w:val="clear" w:color="auto" w:fill="auto"/>
          </w:tcPr>
          <w:p w14:paraId="5DD7AB89" w14:textId="77777777" w:rsidR="00BB4B68" w:rsidRPr="000B3D4F" w:rsidRDefault="00BB4B68" w:rsidP="00FA7F6B">
            <w:pPr>
              <w:rPr>
                <w:rFonts w:cs="Arial"/>
                <w:szCs w:val="20"/>
              </w:rPr>
            </w:pPr>
            <w:r w:rsidRPr="000B3D4F">
              <w:rPr>
                <w:rFonts w:cs="Arial"/>
                <w:szCs w:val="20"/>
              </w:rPr>
              <w:t>UNDP TRAC resources</w:t>
            </w:r>
          </w:p>
        </w:tc>
        <w:tc>
          <w:tcPr>
            <w:tcW w:w="4474" w:type="dxa"/>
            <w:gridSpan w:val="4"/>
          </w:tcPr>
          <w:p w14:paraId="35DC91D8" w14:textId="77777777" w:rsidR="00BB4B68" w:rsidRPr="00960D29" w:rsidRDefault="00BB4B68" w:rsidP="00FA7F6B">
            <w:pPr>
              <w:rPr>
                <w:rFonts w:cs="Arial"/>
                <w:szCs w:val="20"/>
              </w:rPr>
            </w:pPr>
            <w:r w:rsidRPr="00960D29">
              <w:rPr>
                <w:rFonts w:cs="Arial"/>
                <w:szCs w:val="20"/>
              </w:rPr>
              <w:t xml:space="preserve">USD  </w:t>
            </w:r>
          </w:p>
        </w:tc>
      </w:tr>
      <w:tr w:rsidR="00BB4B68" w:rsidRPr="000B3D4F" w14:paraId="47199113" w14:textId="77777777" w:rsidTr="00F005AC">
        <w:tc>
          <w:tcPr>
            <w:tcW w:w="5019" w:type="dxa"/>
            <w:gridSpan w:val="4"/>
            <w:shd w:val="clear" w:color="auto" w:fill="auto"/>
          </w:tcPr>
          <w:p w14:paraId="7E8FD635" w14:textId="77777777" w:rsidR="00BB4B68" w:rsidRPr="00BB4B68" w:rsidRDefault="00BB4B68" w:rsidP="00FA7F6B">
            <w:pPr>
              <w:rPr>
                <w:rFonts w:cs="Arial"/>
                <w:szCs w:val="20"/>
                <w:lang w:val="en-US"/>
              </w:rPr>
            </w:pPr>
            <w:r w:rsidRPr="00BB4B68">
              <w:rPr>
                <w:rFonts w:cs="Arial"/>
                <w:szCs w:val="20"/>
                <w:lang w:val="en-US"/>
              </w:rPr>
              <w:t>Cash co-financing to be administered by UNDP</w:t>
            </w:r>
          </w:p>
        </w:tc>
        <w:tc>
          <w:tcPr>
            <w:tcW w:w="4474" w:type="dxa"/>
            <w:gridSpan w:val="4"/>
          </w:tcPr>
          <w:p w14:paraId="6F19AD48" w14:textId="77777777" w:rsidR="00BB4B68" w:rsidRPr="00960D29" w:rsidRDefault="00BB4B68" w:rsidP="00FA7F6B">
            <w:pPr>
              <w:rPr>
                <w:rFonts w:cs="Arial"/>
                <w:szCs w:val="20"/>
              </w:rPr>
            </w:pPr>
            <w:r w:rsidRPr="00960D29">
              <w:rPr>
                <w:rFonts w:cs="Arial"/>
                <w:szCs w:val="20"/>
              </w:rPr>
              <w:t>USD</w:t>
            </w:r>
          </w:p>
        </w:tc>
      </w:tr>
      <w:tr w:rsidR="00BB4B68" w:rsidRPr="000B3D4F" w14:paraId="7FAB44CF" w14:textId="77777777" w:rsidTr="00F005AC">
        <w:tc>
          <w:tcPr>
            <w:tcW w:w="5019" w:type="dxa"/>
            <w:gridSpan w:val="4"/>
            <w:shd w:val="clear" w:color="auto" w:fill="auto"/>
          </w:tcPr>
          <w:p w14:paraId="3ADF71BA" w14:textId="77777777" w:rsidR="00BB4B68" w:rsidRPr="00BB4B68" w:rsidRDefault="00BB4B68" w:rsidP="00BB4B68">
            <w:pPr>
              <w:pStyle w:val="ListParagraph"/>
              <w:numPr>
                <w:ilvl w:val="0"/>
                <w:numId w:val="19"/>
              </w:numPr>
              <w:contextualSpacing w:val="0"/>
              <w:jc w:val="right"/>
              <w:rPr>
                <w:rFonts w:cs="Arial"/>
                <w:b/>
                <w:sz w:val="20"/>
                <w:szCs w:val="20"/>
                <w:lang w:val="en-US"/>
              </w:rPr>
            </w:pPr>
            <w:r w:rsidRPr="00BB4B68">
              <w:rPr>
                <w:rFonts w:cs="Arial"/>
                <w:b/>
                <w:sz w:val="20"/>
                <w:szCs w:val="20"/>
                <w:lang w:val="en-US" w:eastAsia="zh-CN"/>
              </w:rPr>
              <w:t xml:space="preserve">Total </w:t>
            </w:r>
            <w:r w:rsidRPr="00BB4B68">
              <w:rPr>
                <w:rFonts w:cs="Arial"/>
                <w:b/>
                <w:sz w:val="20"/>
                <w:szCs w:val="20"/>
                <w:lang w:val="en-US"/>
              </w:rPr>
              <w:t xml:space="preserve">Budget administered by UNDP </w:t>
            </w:r>
          </w:p>
        </w:tc>
        <w:tc>
          <w:tcPr>
            <w:tcW w:w="4474" w:type="dxa"/>
            <w:gridSpan w:val="4"/>
          </w:tcPr>
          <w:p w14:paraId="291AAEA9" w14:textId="10F770E1" w:rsidR="00BB4B68" w:rsidRPr="00960D29" w:rsidRDefault="00BB4B68" w:rsidP="00CD401D">
            <w:pPr>
              <w:rPr>
                <w:rFonts w:cs="Arial"/>
                <w:b/>
                <w:szCs w:val="20"/>
              </w:rPr>
            </w:pPr>
            <w:r w:rsidRPr="00960D29">
              <w:rPr>
                <w:rFonts w:cs="Arial"/>
                <w:b/>
                <w:szCs w:val="20"/>
              </w:rPr>
              <w:t xml:space="preserve">USD </w:t>
            </w:r>
            <w:r w:rsidR="00CD401D" w:rsidRPr="00960D29">
              <w:rPr>
                <w:rFonts w:cs="Arial"/>
                <w:b/>
                <w:szCs w:val="20"/>
              </w:rPr>
              <w:t>5</w:t>
            </w:r>
            <w:r w:rsidRPr="00960D29">
              <w:rPr>
                <w:rFonts w:cs="Arial"/>
                <w:b/>
                <w:szCs w:val="20"/>
              </w:rPr>
              <w:t>00,00</w:t>
            </w:r>
            <w:r w:rsidR="00CD401D" w:rsidRPr="00960D29">
              <w:rPr>
                <w:rFonts w:cs="Arial"/>
                <w:b/>
                <w:szCs w:val="20"/>
              </w:rPr>
              <w:t>0</w:t>
            </w:r>
          </w:p>
        </w:tc>
      </w:tr>
      <w:tr w:rsidR="00BB4B68" w:rsidRPr="000B3D4F" w14:paraId="6DC0D35F" w14:textId="77777777" w:rsidTr="00F005AC">
        <w:tc>
          <w:tcPr>
            <w:tcW w:w="9493" w:type="dxa"/>
            <w:gridSpan w:val="8"/>
            <w:shd w:val="clear" w:color="auto" w:fill="D9D9D9" w:themeFill="background1" w:themeFillShade="D9"/>
          </w:tcPr>
          <w:p w14:paraId="687BBAF9" w14:textId="77777777" w:rsidR="00BB4B68" w:rsidRPr="000B3D4F" w:rsidRDefault="00BB4B68" w:rsidP="00FA7F6B">
            <w:pPr>
              <w:rPr>
                <w:rFonts w:cs="Arial"/>
                <w:b/>
                <w:smallCaps/>
                <w:szCs w:val="20"/>
              </w:rPr>
            </w:pPr>
            <w:r w:rsidRPr="000B3D4F">
              <w:rPr>
                <w:rFonts w:cs="Arial"/>
                <w:b/>
                <w:smallCaps/>
                <w:szCs w:val="20"/>
              </w:rPr>
              <w:t>Parallel co-financing</w:t>
            </w:r>
          </w:p>
        </w:tc>
      </w:tr>
      <w:tr w:rsidR="00BB4B68" w:rsidRPr="000B3D4F" w14:paraId="48868747" w14:textId="77777777" w:rsidTr="00F005AC">
        <w:trPr>
          <w:trHeight w:val="395"/>
        </w:trPr>
        <w:tc>
          <w:tcPr>
            <w:tcW w:w="5019" w:type="dxa"/>
            <w:gridSpan w:val="4"/>
          </w:tcPr>
          <w:p w14:paraId="1979D974" w14:textId="77777777" w:rsidR="00BB4B68" w:rsidRPr="000B3D4F" w:rsidRDefault="00BB4B68" w:rsidP="00FA7F6B">
            <w:pPr>
              <w:jc w:val="right"/>
              <w:rPr>
                <w:rFonts w:cs="Arial"/>
                <w:szCs w:val="20"/>
              </w:rPr>
            </w:pPr>
            <w:r w:rsidRPr="000B3D4F">
              <w:rPr>
                <w:rFonts w:cs="Arial"/>
                <w:szCs w:val="20"/>
              </w:rPr>
              <w:t xml:space="preserve">UNDP </w:t>
            </w:r>
          </w:p>
        </w:tc>
        <w:tc>
          <w:tcPr>
            <w:tcW w:w="4474" w:type="dxa"/>
            <w:gridSpan w:val="4"/>
          </w:tcPr>
          <w:p w14:paraId="7297E704" w14:textId="77777777" w:rsidR="00BB4B68" w:rsidRPr="000B3D4F" w:rsidRDefault="00BB4B68" w:rsidP="00FA7F6B">
            <w:pPr>
              <w:rPr>
                <w:rFonts w:cs="Arial"/>
                <w:szCs w:val="20"/>
              </w:rPr>
            </w:pPr>
            <w:r w:rsidRPr="000B3D4F">
              <w:rPr>
                <w:rFonts w:cs="Arial"/>
                <w:szCs w:val="20"/>
              </w:rPr>
              <w:t>USD</w:t>
            </w:r>
          </w:p>
        </w:tc>
      </w:tr>
      <w:tr w:rsidR="00BB4B68" w:rsidRPr="000B3D4F" w14:paraId="5EE4DDE8" w14:textId="77777777" w:rsidTr="00F005AC">
        <w:trPr>
          <w:trHeight w:val="323"/>
        </w:trPr>
        <w:tc>
          <w:tcPr>
            <w:tcW w:w="5019" w:type="dxa"/>
            <w:gridSpan w:val="4"/>
          </w:tcPr>
          <w:p w14:paraId="6C008E53" w14:textId="77777777" w:rsidR="00BB4B68" w:rsidRPr="000B3D4F" w:rsidRDefault="00BB4B68" w:rsidP="00FA7F6B">
            <w:pPr>
              <w:jc w:val="right"/>
              <w:rPr>
                <w:rFonts w:cs="Arial"/>
                <w:szCs w:val="20"/>
              </w:rPr>
            </w:pPr>
            <w:r w:rsidRPr="000B3D4F">
              <w:rPr>
                <w:rFonts w:cs="Arial"/>
                <w:szCs w:val="20"/>
              </w:rPr>
              <w:t>Government</w:t>
            </w:r>
          </w:p>
        </w:tc>
        <w:tc>
          <w:tcPr>
            <w:tcW w:w="4474" w:type="dxa"/>
            <w:gridSpan w:val="4"/>
          </w:tcPr>
          <w:p w14:paraId="6C60F6B1" w14:textId="77777777" w:rsidR="00BB4B68" w:rsidRPr="000B3D4F" w:rsidRDefault="00BB4B68" w:rsidP="00FA7F6B">
            <w:pPr>
              <w:rPr>
                <w:rFonts w:cs="Arial"/>
                <w:szCs w:val="20"/>
              </w:rPr>
            </w:pPr>
            <w:r w:rsidRPr="000B3D4F">
              <w:rPr>
                <w:rFonts w:cs="Arial"/>
                <w:szCs w:val="20"/>
              </w:rPr>
              <w:t>USD</w:t>
            </w:r>
          </w:p>
        </w:tc>
      </w:tr>
      <w:tr w:rsidR="00BB4B68" w:rsidRPr="000B3D4F" w14:paraId="3188522B" w14:textId="77777777" w:rsidTr="00F005AC">
        <w:tc>
          <w:tcPr>
            <w:tcW w:w="5019" w:type="dxa"/>
            <w:gridSpan w:val="4"/>
          </w:tcPr>
          <w:p w14:paraId="0D2205FF" w14:textId="77777777" w:rsidR="00BB4B68" w:rsidRPr="000B3D4F" w:rsidRDefault="00BB4B68" w:rsidP="00BB4B68">
            <w:pPr>
              <w:pStyle w:val="ListParagraph"/>
              <w:numPr>
                <w:ilvl w:val="0"/>
                <w:numId w:val="19"/>
              </w:numPr>
              <w:contextualSpacing w:val="0"/>
              <w:jc w:val="right"/>
              <w:rPr>
                <w:rFonts w:cs="Arial"/>
                <w:b/>
                <w:sz w:val="20"/>
                <w:szCs w:val="20"/>
              </w:rPr>
            </w:pPr>
            <w:r w:rsidRPr="000B3D4F">
              <w:rPr>
                <w:rFonts w:cs="Arial"/>
                <w:b/>
                <w:sz w:val="20"/>
                <w:szCs w:val="20"/>
              </w:rPr>
              <w:t>Total co-financing</w:t>
            </w:r>
          </w:p>
        </w:tc>
        <w:tc>
          <w:tcPr>
            <w:tcW w:w="4474" w:type="dxa"/>
            <w:gridSpan w:val="4"/>
          </w:tcPr>
          <w:p w14:paraId="6D4CACA6" w14:textId="77777777" w:rsidR="00BB4B68" w:rsidRPr="000B3D4F" w:rsidRDefault="00BB4B68" w:rsidP="00FA7F6B">
            <w:pPr>
              <w:rPr>
                <w:rFonts w:cs="Arial"/>
                <w:b/>
                <w:szCs w:val="20"/>
              </w:rPr>
            </w:pPr>
            <w:r w:rsidRPr="000B3D4F">
              <w:rPr>
                <w:rFonts w:cs="Arial"/>
                <w:b/>
                <w:szCs w:val="20"/>
              </w:rPr>
              <w:t>USD</w:t>
            </w:r>
          </w:p>
        </w:tc>
      </w:tr>
      <w:tr w:rsidR="00BB4B68" w:rsidRPr="000B3D4F" w14:paraId="5465C80C" w14:textId="77777777" w:rsidTr="00F005AC">
        <w:tc>
          <w:tcPr>
            <w:tcW w:w="5019" w:type="dxa"/>
            <w:gridSpan w:val="4"/>
          </w:tcPr>
          <w:p w14:paraId="55C50AD2" w14:textId="77777777" w:rsidR="00BB4B68" w:rsidRPr="000B3D4F" w:rsidRDefault="00BB4B68" w:rsidP="00BB4B68">
            <w:pPr>
              <w:pStyle w:val="ListParagraph"/>
              <w:numPr>
                <w:ilvl w:val="0"/>
                <w:numId w:val="19"/>
              </w:numPr>
              <w:contextualSpacing w:val="0"/>
              <w:jc w:val="right"/>
              <w:rPr>
                <w:rFonts w:cs="Arial"/>
                <w:b/>
                <w:sz w:val="20"/>
                <w:szCs w:val="20"/>
              </w:rPr>
            </w:pPr>
            <w:r w:rsidRPr="000B3D4F">
              <w:rPr>
                <w:rFonts w:cs="Arial"/>
                <w:b/>
                <w:sz w:val="20"/>
                <w:szCs w:val="20"/>
                <w:lang w:eastAsia="zh-CN"/>
              </w:rPr>
              <w:t>Grand-</w:t>
            </w:r>
            <w:r w:rsidRPr="000B3D4F">
              <w:rPr>
                <w:rFonts w:cs="Arial"/>
                <w:b/>
                <w:sz w:val="20"/>
                <w:szCs w:val="20"/>
              </w:rPr>
              <w:t xml:space="preserve">Total Project </w:t>
            </w:r>
            <w:r w:rsidRPr="000B3D4F">
              <w:rPr>
                <w:rFonts w:cs="Arial"/>
                <w:b/>
                <w:sz w:val="20"/>
                <w:szCs w:val="20"/>
                <w:lang w:eastAsia="zh-CN"/>
              </w:rPr>
              <w:t>Financing (1)+(2)</w:t>
            </w:r>
          </w:p>
        </w:tc>
        <w:tc>
          <w:tcPr>
            <w:tcW w:w="4474" w:type="dxa"/>
            <w:gridSpan w:val="4"/>
          </w:tcPr>
          <w:p w14:paraId="033CF3E8" w14:textId="723A7713" w:rsidR="00BB4B68" w:rsidRPr="000B3D4F" w:rsidRDefault="00BB4B68" w:rsidP="00FA7F6B">
            <w:pPr>
              <w:rPr>
                <w:rFonts w:cs="Arial"/>
                <w:b/>
                <w:szCs w:val="20"/>
              </w:rPr>
            </w:pPr>
            <w:r w:rsidRPr="00960D29">
              <w:rPr>
                <w:rFonts w:cs="Arial"/>
                <w:b/>
                <w:szCs w:val="20"/>
              </w:rPr>
              <w:t xml:space="preserve">USD </w:t>
            </w:r>
            <w:r w:rsidR="00CD401D" w:rsidRPr="00960D29">
              <w:rPr>
                <w:rFonts w:cs="Arial"/>
                <w:b/>
                <w:szCs w:val="20"/>
              </w:rPr>
              <w:t>5</w:t>
            </w:r>
            <w:r w:rsidRPr="00960D29">
              <w:rPr>
                <w:rFonts w:cs="Arial"/>
                <w:b/>
                <w:szCs w:val="20"/>
              </w:rPr>
              <w:t>00,000</w:t>
            </w:r>
          </w:p>
        </w:tc>
      </w:tr>
      <w:tr w:rsidR="00BB4B68" w:rsidRPr="00EE3E21" w14:paraId="54BE6745" w14:textId="77777777" w:rsidTr="00F005AC">
        <w:tc>
          <w:tcPr>
            <w:tcW w:w="9493" w:type="dxa"/>
            <w:gridSpan w:val="8"/>
          </w:tcPr>
          <w:p w14:paraId="0538DE09" w14:textId="77777777" w:rsidR="0087673B" w:rsidRDefault="0087673B" w:rsidP="00FA7F6B">
            <w:pPr>
              <w:spacing w:after="240"/>
              <w:rPr>
                <w:rFonts w:cs="Arial"/>
                <w:b/>
                <w:szCs w:val="20"/>
                <w:lang w:val="en-US"/>
              </w:rPr>
            </w:pPr>
          </w:p>
          <w:p w14:paraId="3E65EEA4" w14:textId="3BEC29E5" w:rsidR="00BB4B68" w:rsidRPr="00EE3E21" w:rsidRDefault="00BB4B68" w:rsidP="00FA7F6B">
            <w:pPr>
              <w:spacing w:after="240"/>
              <w:rPr>
                <w:rFonts w:cs="Arial"/>
                <w:szCs w:val="20"/>
                <w:lang w:val="en-US"/>
              </w:rPr>
            </w:pPr>
            <w:r w:rsidRPr="00BB4B68">
              <w:rPr>
                <w:rFonts w:cs="Arial"/>
                <w:b/>
                <w:szCs w:val="20"/>
                <w:lang w:val="en-US"/>
              </w:rPr>
              <w:t>Brief project description:</w:t>
            </w:r>
          </w:p>
          <w:p w14:paraId="2D104F9B" w14:textId="521D9E00" w:rsidR="0087673B" w:rsidRDefault="00C41FE7" w:rsidP="00FA7F6B">
            <w:pPr>
              <w:spacing w:after="240"/>
              <w:rPr>
                <w:rFonts w:cs="Arial"/>
                <w:szCs w:val="20"/>
                <w:lang w:val="en-US"/>
              </w:rPr>
            </w:pPr>
            <w:r w:rsidRPr="00C41FE7">
              <w:rPr>
                <w:rFonts w:cs="Arial"/>
                <w:szCs w:val="20"/>
                <w:lang w:val="en-US"/>
              </w:rPr>
              <w:t>The Minamata Convention on Mercury aim</w:t>
            </w:r>
            <w:r>
              <w:rPr>
                <w:rFonts w:cs="Arial"/>
                <w:szCs w:val="20"/>
                <w:lang w:val="en-US"/>
              </w:rPr>
              <w:t>s</w:t>
            </w:r>
            <w:r w:rsidRPr="00C41FE7">
              <w:rPr>
                <w:rFonts w:cs="Arial"/>
                <w:szCs w:val="20"/>
                <w:lang w:val="en-US"/>
              </w:rPr>
              <w:t xml:space="preserve"> to reduce mercury emissions from all sources, including gold mining</w:t>
            </w:r>
            <w:r w:rsidR="001A6FAC">
              <w:rPr>
                <w:rFonts w:cs="Arial"/>
                <w:szCs w:val="20"/>
                <w:lang w:val="en-US"/>
              </w:rPr>
              <w:t xml:space="preserve">. </w:t>
            </w:r>
            <w:r w:rsidRPr="00C41FE7">
              <w:rPr>
                <w:rFonts w:cs="Arial"/>
                <w:szCs w:val="20"/>
                <w:lang w:val="en-US"/>
              </w:rPr>
              <w:t>Suriname hasn´t signed the Minamata Convention</w:t>
            </w:r>
            <w:r>
              <w:rPr>
                <w:rFonts w:cs="Arial"/>
                <w:szCs w:val="20"/>
                <w:lang w:val="en-US"/>
              </w:rPr>
              <w:t xml:space="preserve"> yet;</w:t>
            </w:r>
            <w:r w:rsidRPr="00C41FE7">
              <w:rPr>
                <w:rFonts w:cs="Arial"/>
                <w:szCs w:val="20"/>
                <w:lang w:val="en-US"/>
              </w:rPr>
              <w:t xml:space="preserve"> </w:t>
            </w:r>
            <w:r w:rsidR="002B11CA">
              <w:rPr>
                <w:rFonts w:cs="Arial"/>
                <w:szCs w:val="20"/>
                <w:lang w:val="en-US"/>
              </w:rPr>
              <w:t xml:space="preserve">however the country has taken </w:t>
            </w:r>
            <w:r w:rsidR="002B11CA" w:rsidRPr="002B11CA">
              <w:rPr>
                <w:rFonts w:cs="Arial"/>
                <w:szCs w:val="20"/>
                <w:lang w:val="en-US"/>
              </w:rPr>
              <w:t>initiated steps for the ratification to become a full party of the Minamata Convention.</w:t>
            </w:r>
            <w:r w:rsidR="001A6FAC">
              <w:rPr>
                <w:rFonts w:cs="Arial"/>
                <w:szCs w:val="20"/>
                <w:lang w:val="en-US"/>
              </w:rPr>
              <w:t xml:space="preserve"> </w:t>
            </w:r>
            <w:r w:rsidR="0087673B">
              <w:rPr>
                <w:rFonts w:cs="Arial"/>
                <w:szCs w:val="20"/>
                <w:lang w:val="en-US"/>
              </w:rPr>
              <w:t>T</w:t>
            </w:r>
            <w:r w:rsidRPr="00C41FE7">
              <w:rPr>
                <w:rFonts w:cs="Arial"/>
                <w:szCs w:val="20"/>
                <w:lang w:val="en-US"/>
              </w:rPr>
              <w:t>he artisanal and small-scale gold mining (ASGM) sector is a major source of mercury release and envir</w:t>
            </w:r>
            <w:r w:rsidR="0087673B">
              <w:rPr>
                <w:rFonts w:cs="Arial"/>
                <w:szCs w:val="20"/>
                <w:lang w:val="en-US"/>
              </w:rPr>
              <w:t xml:space="preserve">onmental pollution in the world. </w:t>
            </w:r>
            <w:r w:rsidR="0087673B" w:rsidRPr="004464EE">
              <w:rPr>
                <w:rFonts w:cs="Arial"/>
                <w:szCs w:val="20"/>
                <w:lang w:val="en-US"/>
              </w:rPr>
              <w:t>The majority of mining</w:t>
            </w:r>
            <w:r w:rsidR="0087673B">
              <w:rPr>
                <w:rFonts w:cs="Arial"/>
                <w:szCs w:val="20"/>
                <w:lang w:val="en-US"/>
              </w:rPr>
              <w:t>, undertaken by overall Brazilians (Garimpeiros) and in lesser extend the Surinamese Maroons,</w:t>
            </w:r>
            <w:r w:rsidR="0087673B" w:rsidRPr="004464EE">
              <w:rPr>
                <w:rFonts w:cs="Arial"/>
                <w:szCs w:val="20"/>
                <w:lang w:val="en-US"/>
              </w:rPr>
              <w:t xml:space="preserve"> is taking place in Suriname's Greenstone Belt, in which the majority of gold deposits are to be found. Unfortunately, due to its largely unregulated and uncontrolled nature, mining, and in particular artisanal and </w:t>
            </w:r>
            <w:r w:rsidR="005D4623" w:rsidRPr="004464EE">
              <w:rPr>
                <w:rFonts w:cs="Arial"/>
                <w:szCs w:val="20"/>
                <w:lang w:val="en-US"/>
              </w:rPr>
              <w:t>small-scale</w:t>
            </w:r>
            <w:r w:rsidR="0087673B" w:rsidRPr="004464EE">
              <w:rPr>
                <w:rFonts w:cs="Arial"/>
                <w:szCs w:val="20"/>
                <w:lang w:val="en-US"/>
              </w:rPr>
              <w:t xml:space="preserve"> gold mining (ASGM), is causing significant negative environmental impacts on forests, freshwater, fish and other groups of species.</w:t>
            </w:r>
          </w:p>
          <w:p w14:paraId="098553B9" w14:textId="3268F041" w:rsidR="00C41FE7" w:rsidRPr="00C41FE7" w:rsidRDefault="00C41FE7" w:rsidP="00C41FE7">
            <w:pPr>
              <w:spacing w:after="240"/>
              <w:rPr>
                <w:rFonts w:cs="Arial"/>
                <w:szCs w:val="20"/>
                <w:lang w:val="en-US"/>
              </w:rPr>
            </w:pPr>
            <w:r w:rsidRPr="00C41FE7">
              <w:rPr>
                <w:rFonts w:cs="Arial"/>
                <w:szCs w:val="20"/>
                <w:lang w:val="en-US"/>
              </w:rPr>
              <w:t xml:space="preserve"> Suriname is, according to the Minamata Convention, required to develop a National Action Plan (NAP).</w:t>
            </w:r>
            <w:r w:rsidR="00B71E9B">
              <w:rPr>
                <w:rFonts w:cs="Arial"/>
                <w:szCs w:val="20"/>
                <w:lang w:val="en-US"/>
              </w:rPr>
              <w:t xml:space="preserve"> </w:t>
            </w:r>
            <w:r w:rsidRPr="00C41FE7">
              <w:rPr>
                <w:rFonts w:cs="Arial"/>
                <w:szCs w:val="20"/>
                <w:lang w:val="en-US"/>
              </w:rPr>
              <w:t>The Suriname NAP will focus on the ASGM sector for which a strategy to systematically reduce mercury emissions wi</w:t>
            </w:r>
            <w:r>
              <w:rPr>
                <w:rFonts w:cs="Arial"/>
                <w:szCs w:val="20"/>
                <w:lang w:val="en-US"/>
              </w:rPr>
              <w:t xml:space="preserve">ll be articulated and </w:t>
            </w:r>
            <w:r w:rsidRPr="00C41FE7">
              <w:rPr>
                <w:rFonts w:cs="Arial"/>
                <w:szCs w:val="20"/>
                <w:lang w:val="en-US"/>
              </w:rPr>
              <w:t>consists of the following components:</w:t>
            </w:r>
          </w:p>
          <w:p w14:paraId="5AE9A6CA" w14:textId="4E5EB9B9" w:rsidR="00C41FE7" w:rsidRPr="00C41FE7" w:rsidRDefault="00C41FE7" w:rsidP="00EE3E21">
            <w:pPr>
              <w:pStyle w:val="ListParagraph"/>
              <w:numPr>
                <w:ilvl w:val="0"/>
                <w:numId w:val="34"/>
              </w:numPr>
              <w:spacing w:after="240"/>
              <w:rPr>
                <w:rFonts w:cs="Arial"/>
                <w:szCs w:val="20"/>
                <w:lang w:val="en-US"/>
              </w:rPr>
            </w:pPr>
            <w:r w:rsidRPr="00C41FE7">
              <w:rPr>
                <w:rFonts w:cs="Arial"/>
                <w:szCs w:val="20"/>
                <w:lang w:val="en-US"/>
              </w:rPr>
              <w:t>Develop Mercury Profile in artisanal and small-scale gold mining (ASGM)</w:t>
            </w:r>
          </w:p>
          <w:p w14:paraId="50B07144" w14:textId="1C370BB9" w:rsidR="00C41FE7" w:rsidRPr="002B11CA" w:rsidRDefault="00C41FE7" w:rsidP="00EE3E21">
            <w:pPr>
              <w:pStyle w:val="ListParagraph"/>
              <w:numPr>
                <w:ilvl w:val="0"/>
                <w:numId w:val="34"/>
              </w:numPr>
              <w:spacing w:after="240"/>
              <w:rPr>
                <w:rFonts w:cs="Arial"/>
                <w:szCs w:val="20"/>
                <w:lang w:val="en-US"/>
              </w:rPr>
            </w:pPr>
            <w:r w:rsidRPr="002B11CA">
              <w:rPr>
                <w:rFonts w:cs="Arial"/>
                <w:szCs w:val="20"/>
                <w:lang w:val="en-US"/>
              </w:rPr>
              <w:t xml:space="preserve">Strengthen institutional capacities to achieve the reduction of emissions and releases of, and exposure to, mercury in ASGM sector and processing, including mercury-free methods  </w:t>
            </w:r>
          </w:p>
          <w:p w14:paraId="34CC0CE1" w14:textId="77777777" w:rsidR="001A6FAC" w:rsidRDefault="00C41FE7" w:rsidP="00EE3E21">
            <w:pPr>
              <w:pStyle w:val="ListParagraph"/>
              <w:numPr>
                <w:ilvl w:val="0"/>
                <w:numId w:val="34"/>
              </w:numPr>
              <w:spacing w:after="240"/>
              <w:rPr>
                <w:rFonts w:cs="Arial"/>
                <w:szCs w:val="20"/>
                <w:lang w:val="en-US"/>
              </w:rPr>
            </w:pPr>
            <w:r w:rsidRPr="001A6FAC">
              <w:rPr>
                <w:rFonts w:cs="Arial"/>
                <w:szCs w:val="20"/>
                <w:lang w:val="en-US"/>
              </w:rPr>
              <w:t>Prepare a National Action Plan (NAP) and establish a schedule for the implementation of the NAP.</w:t>
            </w:r>
          </w:p>
          <w:p w14:paraId="1D0C7F70" w14:textId="1316D9F3" w:rsidR="00C41FE7" w:rsidRDefault="00C41FE7" w:rsidP="001A6FAC">
            <w:pPr>
              <w:spacing w:after="240"/>
              <w:rPr>
                <w:rFonts w:cs="Arial"/>
                <w:szCs w:val="20"/>
                <w:lang w:val="en-US"/>
              </w:rPr>
            </w:pPr>
            <w:r w:rsidRPr="001A6FAC">
              <w:rPr>
                <w:rFonts w:cs="Arial"/>
                <w:szCs w:val="20"/>
                <w:lang w:val="en-US"/>
              </w:rPr>
              <w:t>The NAP will build on, and complement the ongoing MIA and Full Size GEF activities and will provide the opportunity for more longer-term strategy and policy, whilst supporting medium term policy enhancements and building capacity for improving monitoring and enforcement of the regulations in Artisanal and Small-scale Goldmining.</w:t>
            </w:r>
          </w:p>
          <w:p w14:paraId="5DB443E4" w14:textId="2D9ACD62" w:rsidR="00D52EB9" w:rsidRDefault="00D52EB9" w:rsidP="001A6FAC">
            <w:pPr>
              <w:spacing w:after="240"/>
              <w:rPr>
                <w:rFonts w:cs="Arial"/>
                <w:szCs w:val="20"/>
                <w:lang w:val="en-US"/>
              </w:rPr>
            </w:pPr>
            <w:r>
              <w:rPr>
                <w:rFonts w:cs="Arial"/>
                <w:szCs w:val="20"/>
                <w:lang w:val="en-US"/>
              </w:rPr>
              <w:t>The NAP</w:t>
            </w:r>
            <w:r w:rsidRPr="00EE3E21">
              <w:rPr>
                <w:lang w:val="en-US"/>
              </w:rPr>
              <w:t xml:space="preserve"> </w:t>
            </w:r>
            <w:r>
              <w:rPr>
                <w:lang w:val="en-US"/>
              </w:rPr>
              <w:t>will be</w:t>
            </w:r>
            <w:r w:rsidRPr="00D52EB9">
              <w:rPr>
                <w:rFonts w:cs="Arial"/>
                <w:szCs w:val="20"/>
                <w:lang w:val="en-US"/>
              </w:rPr>
              <w:t xml:space="preserve"> organized into three components composed by its outcomes as follows:</w:t>
            </w:r>
          </w:p>
          <w:p w14:paraId="771DC412" w14:textId="77777777" w:rsidR="0087673B" w:rsidRDefault="00D52EB9" w:rsidP="00EE3E21">
            <w:pPr>
              <w:pStyle w:val="ListParagraph"/>
              <w:numPr>
                <w:ilvl w:val="0"/>
                <w:numId w:val="35"/>
              </w:numPr>
              <w:spacing w:after="240"/>
              <w:rPr>
                <w:rFonts w:cs="Arial"/>
                <w:szCs w:val="20"/>
                <w:lang w:val="en-US"/>
              </w:rPr>
            </w:pPr>
            <w:r w:rsidRPr="00D52EB9">
              <w:rPr>
                <w:rFonts w:cs="Arial"/>
                <w:szCs w:val="20"/>
                <w:lang w:val="en-US"/>
              </w:rPr>
              <w:t>Develop Mercury Profile in artisanal and small-scale gold mining (ASGM)</w:t>
            </w:r>
          </w:p>
          <w:p w14:paraId="26C5EAFD" w14:textId="36D64947" w:rsidR="00D52EB9" w:rsidRPr="0087673B" w:rsidRDefault="0087673B" w:rsidP="00EE3E21">
            <w:pPr>
              <w:pStyle w:val="ListParagraph"/>
              <w:spacing w:after="240"/>
              <w:rPr>
                <w:rFonts w:cs="Arial"/>
                <w:szCs w:val="20"/>
                <w:lang w:val="en-US"/>
              </w:rPr>
            </w:pPr>
            <w:r>
              <w:rPr>
                <w:rFonts w:cs="Arial"/>
                <w:szCs w:val="20"/>
                <w:lang w:val="en-US"/>
              </w:rPr>
              <w:t>O</w:t>
            </w:r>
            <w:r w:rsidR="00D52EB9" w:rsidRPr="00D52EB9">
              <w:rPr>
                <w:rFonts w:cs="Arial"/>
                <w:szCs w:val="20"/>
                <w:lang w:val="en-US"/>
              </w:rPr>
              <w:t xml:space="preserve">utcomes: </w:t>
            </w:r>
            <w:r>
              <w:rPr>
                <w:rFonts w:cs="Arial"/>
                <w:szCs w:val="20"/>
                <w:lang w:val="en-US"/>
              </w:rPr>
              <w:t xml:space="preserve">(1) </w:t>
            </w:r>
            <w:r w:rsidR="00D52EB9" w:rsidRPr="00D52EB9">
              <w:rPr>
                <w:rFonts w:cs="Arial"/>
                <w:szCs w:val="20"/>
                <w:lang w:val="en-US"/>
              </w:rPr>
              <w:t>National capacity built to undertake detailed Mercury inventory in ASGM</w:t>
            </w:r>
            <w:r w:rsidR="00D52EB9" w:rsidRPr="0087673B">
              <w:rPr>
                <w:rFonts w:cs="Arial"/>
                <w:szCs w:val="20"/>
                <w:lang w:val="en-US"/>
              </w:rPr>
              <w:t xml:space="preserve">, </w:t>
            </w:r>
            <w:r>
              <w:rPr>
                <w:rFonts w:cs="Arial"/>
                <w:szCs w:val="20"/>
                <w:lang w:val="en-US"/>
              </w:rPr>
              <w:t xml:space="preserve">(2) </w:t>
            </w:r>
            <w:r w:rsidR="00D52EB9" w:rsidRPr="0087673B">
              <w:rPr>
                <w:rFonts w:cs="Arial"/>
                <w:szCs w:val="20"/>
                <w:lang w:val="en-US"/>
              </w:rPr>
              <w:t>National Mercury Profile available.</w:t>
            </w:r>
          </w:p>
          <w:p w14:paraId="6FF6699A" w14:textId="36A8048F" w:rsidR="00D52EB9" w:rsidRDefault="00D52EB9" w:rsidP="00EE3E21">
            <w:pPr>
              <w:pStyle w:val="ListParagraph"/>
              <w:numPr>
                <w:ilvl w:val="0"/>
                <w:numId w:val="35"/>
              </w:numPr>
              <w:spacing w:after="240"/>
              <w:rPr>
                <w:rFonts w:cs="Arial"/>
                <w:szCs w:val="20"/>
                <w:lang w:val="en-US"/>
              </w:rPr>
            </w:pPr>
            <w:r w:rsidRPr="00D52EB9">
              <w:rPr>
                <w:rFonts w:cs="Arial"/>
                <w:szCs w:val="20"/>
                <w:lang w:val="en-US"/>
              </w:rPr>
              <w:t>Strengthen institutional capacities to achieve the reduction of emissions and releases of, and exposure to, mercury in ASGM sector and processing, including mercury-free methods</w:t>
            </w:r>
            <w:r>
              <w:rPr>
                <w:rFonts w:cs="Arial"/>
                <w:szCs w:val="20"/>
                <w:lang w:val="en-US"/>
              </w:rPr>
              <w:t xml:space="preserve"> </w:t>
            </w:r>
            <w:r w:rsidR="0087673B">
              <w:rPr>
                <w:rFonts w:cs="Arial"/>
                <w:szCs w:val="20"/>
                <w:lang w:val="en-US"/>
              </w:rPr>
              <w:t>O</w:t>
            </w:r>
            <w:r>
              <w:rPr>
                <w:rFonts w:cs="Arial"/>
                <w:szCs w:val="20"/>
                <w:lang w:val="en-US"/>
              </w:rPr>
              <w:t xml:space="preserve">utcomes: </w:t>
            </w:r>
            <w:r w:rsidR="0087673B">
              <w:rPr>
                <w:rFonts w:cs="Arial"/>
                <w:szCs w:val="20"/>
                <w:lang w:val="en-US"/>
              </w:rPr>
              <w:t xml:space="preserve">(1) </w:t>
            </w:r>
            <w:r w:rsidRPr="00D52EB9">
              <w:rPr>
                <w:rFonts w:cs="Arial"/>
                <w:szCs w:val="20"/>
                <w:lang w:val="en-US"/>
              </w:rPr>
              <w:t xml:space="preserve">Legal and regulatory status of ASGM in Suriname reviewed, including land </w:t>
            </w:r>
            <w:r w:rsidR="0087673B">
              <w:rPr>
                <w:rFonts w:cs="Arial"/>
                <w:szCs w:val="20"/>
                <w:lang w:val="en-US"/>
              </w:rPr>
              <w:t>)</w:t>
            </w:r>
            <w:r w:rsidRPr="00D52EB9">
              <w:rPr>
                <w:rFonts w:cs="Arial"/>
                <w:szCs w:val="20"/>
                <w:lang w:val="en-US"/>
              </w:rPr>
              <w:t xml:space="preserve">property rights and use permits in mining </w:t>
            </w:r>
            <w:r>
              <w:rPr>
                <w:rFonts w:cs="Arial"/>
                <w:szCs w:val="20"/>
                <w:lang w:val="en-US"/>
              </w:rPr>
              <w:t xml:space="preserve">areas and licensing procedures, </w:t>
            </w:r>
            <w:r w:rsidR="0087673B">
              <w:rPr>
                <w:rFonts w:cs="Arial"/>
                <w:szCs w:val="20"/>
                <w:lang w:val="en-US"/>
              </w:rPr>
              <w:t xml:space="preserve">(2) </w:t>
            </w:r>
            <w:r w:rsidRPr="00D52EB9">
              <w:rPr>
                <w:rFonts w:cs="Arial"/>
                <w:szCs w:val="20"/>
                <w:lang w:val="en-US"/>
              </w:rPr>
              <w:t>Strategies and policies for reducing emissions and releases of Hg assessed</w:t>
            </w:r>
            <w:r>
              <w:rPr>
                <w:rFonts w:cs="Arial"/>
                <w:szCs w:val="20"/>
                <w:lang w:val="en-US"/>
              </w:rPr>
              <w:t xml:space="preserve">, </w:t>
            </w:r>
            <w:r w:rsidR="0087673B">
              <w:rPr>
                <w:rFonts w:cs="Arial"/>
                <w:szCs w:val="20"/>
                <w:lang w:val="en-US"/>
              </w:rPr>
              <w:t xml:space="preserve">(3) </w:t>
            </w:r>
            <w:r w:rsidRPr="00D52EB9">
              <w:rPr>
                <w:rFonts w:cs="Arial"/>
                <w:szCs w:val="20"/>
                <w:lang w:val="en-US"/>
              </w:rPr>
              <w:t>Technically available and economically feasible techniques and technologies that can replace the use of m</w:t>
            </w:r>
            <w:r>
              <w:rPr>
                <w:rFonts w:cs="Arial"/>
                <w:szCs w:val="20"/>
                <w:lang w:val="en-US"/>
              </w:rPr>
              <w:t xml:space="preserve">ercury assessed at global level, </w:t>
            </w:r>
            <w:r w:rsidR="0087673B">
              <w:rPr>
                <w:rFonts w:cs="Arial"/>
                <w:szCs w:val="20"/>
                <w:lang w:val="en-US"/>
              </w:rPr>
              <w:t xml:space="preserve">(4) </w:t>
            </w:r>
            <w:r w:rsidRPr="00D52EB9">
              <w:rPr>
                <w:rFonts w:cs="Arial"/>
                <w:szCs w:val="20"/>
                <w:lang w:val="en-US"/>
              </w:rPr>
              <w:t xml:space="preserve">Public consultation and awareness systems on Hg risks on exposure established, including actions to prevent vulnerable public exposure, especially low income </w:t>
            </w:r>
            <w:r>
              <w:rPr>
                <w:rFonts w:cs="Arial"/>
                <w:szCs w:val="20"/>
                <w:lang w:val="en-US"/>
              </w:rPr>
              <w:t>populations, children and women</w:t>
            </w:r>
            <w:r w:rsidR="0087673B">
              <w:rPr>
                <w:rFonts w:cs="Arial"/>
                <w:szCs w:val="20"/>
                <w:lang w:val="en-US"/>
              </w:rPr>
              <w:t>.</w:t>
            </w:r>
          </w:p>
          <w:p w14:paraId="66C3AAA1" w14:textId="55433CB1" w:rsidR="0087673B" w:rsidRDefault="0087673B" w:rsidP="00EE3E21">
            <w:pPr>
              <w:pStyle w:val="ListParagraph"/>
              <w:numPr>
                <w:ilvl w:val="0"/>
                <w:numId w:val="35"/>
              </w:numPr>
              <w:spacing w:after="240"/>
              <w:rPr>
                <w:rFonts w:cs="Arial"/>
                <w:szCs w:val="20"/>
                <w:lang w:val="en-US"/>
              </w:rPr>
            </w:pPr>
            <w:r w:rsidRPr="0087673B">
              <w:rPr>
                <w:rFonts w:cs="Arial"/>
                <w:szCs w:val="20"/>
                <w:lang w:val="en-US"/>
              </w:rPr>
              <w:t xml:space="preserve">Prepare a National </w:t>
            </w:r>
            <w:r w:rsidR="005D4623" w:rsidRPr="0087673B">
              <w:rPr>
                <w:rFonts w:cs="Arial"/>
                <w:szCs w:val="20"/>
                <w:lang w:val="en-US"/>
              </w:rPr>
              <w:t>Action</w:t>
            </w:r>
            <w:r w:rsidRPr="0087673B">
              <w:rPr>
                <w:rFonts w:cs="Arial"/>
                <w:szCs w:val="20"/>
                <w:lang w:val="en-US"/>
              </w:rPr>
              <w:t xml:space="preserve"> Plan (NAP) and establish a schedule for the implementation of the NAP</w:t>
            </w:r>
            <w:r w:rsidR="00EE3E21">
              <w:rPr>
                <w:rFonts w:cs="Arial"/>
                <w:szCs w:val="20"/>
                <w:lang w:val="en-US"/>
              </w:rPr>
              <w:t>.</w:t>
            </w:r>
          </w:p>
          <w:p w14:paraId="5B5273FF" w14:textId="607004B3" w:rsidR="0087673B" w:rsidRPr="00EE3E21" w:rsidRDefault="0087673B" w:rsidP="00EE3E21">
            <w:pPr>
              <w:pStyle w:val="ListParagraph"/>
              <w:spacing w:after="240"/>
              <w:rPr>
                <w:rFonts w:cs="Arial"/>
                <w:szCs w:val="20"/>
                <w:lang w:val="en-US"/>
              </w:rPr>
            </w:pPr>
            <w:r>
              <w:rPr>
                <w:rFonts w:cs="Arial"/>
                <w:szCs w:val="20"/>
                <w:lang w:val="en-US"/>
              </w:rPr>
              <w:t xml:space="preserve">Outcomes: (1) </w:t>
            </w:r>
            <w:r w:rsidRPr="0087673B">
              <w:rPr>
                <w:rFonts w:cs="Arial"/>
                <w:szCs w:val="20"/>
                <w:lang w:val="en-US"/>
              </w:rPr>
              <w:t>National Action Plan Prepared</w:t>
            </w:r>
            <w:r>
              <w:rPr>
                <w:rFonts w:cs="Arial"/>
                <w:szCs w:val="20"/>
                <w:lang w:val="en-US"/>
              </w:rPr>
              <w:t xml:space="preserve">, (2) </w:t>
            </w:r>
            <w:r w:rsidRPr="0087673B">
              <w:rPr>
                <w:rFonts w:cs="Arial"/>
                <w:szCs w:val="20"/>
                <w:lang w:val="en-US"/>
              </w:rPr>
              <w:t>Schedule for the implementation NAP in Suriname made available</w:t>
            </w:r>
            <w:r>
              <w:rPr>
                <w:rFonts w:cs="Arial"/>
                <w:szCs w:val="20"/>
                <w:lang w:val="en-US"/>
              </w:rPr>
              <w:t>.</w:t>
            </w:r>
          </w:p>
          <w:p w14:paraId="71AAB9B6" w14:textId="77777777" w:rsidR="0087673B" w:rsidRDefault="0087673B" w:rsidP="00EE3E21">
            <w:pPr>
              <w:pStyle w:val="ListParagraph"/>
              <w:rPr>
                <w:rFonts w:cs="Arial"/>
                <w:szCs w:val="20"/>
                <w:lang w:val="en-US"/>
              </w:rPr>
            </w:pPr>
          </w:p>
          <w:p w14:paraId="3DA36F08" w14:textId="77777777" w:rsidR="0087673B" w:rsidRDefault="0087673B" w:rsidP="00EE3E21">
            <w:pPr>
              <w:pStyle w:val="ListParagraph"/>
              <w:rPr>
                <w:rFonts w:cs="Arial"/>
                <w:szCs w:val="20"/>
                <w:lang w:val="en-US"/>
              </w:rPr>
            </w:pPr>
          </w:p>
          <w:p w14:paraId="41E75FBF" w14:textId="77777777" w:rsidR="0087673B" w:rsidRDefault="0087673B" w:rsidP="00EE3E21">
            <w:pPr>
              <w:pStyle w:val="ListParagraph"/>
              <w:rPr>
                <w:rFonts w:cs="Arial"/>
                <w:szCs w:val="20"/>
                <w:lang w:val="en-US"/>
              </w:rPr>
            </w:pPr>
          </w:p>
          <w:p w14:paraId="6450F40F" w14:textId="77777777" w:rsidR="0087673B" w:rsidRDefault="0087673B" w:rsidP="00EE3E21">
            <w:pPr>
              <w:pStyle w:val="ListParagraph"/>
              <w:rPr>
                <w:rFonts w:cs="Arial"/>
                <w:szCs w:val="20"/>
                <w:lang w:val="en-US"/>
              </w:rPr>
            </w:pPr>
          </w:p>
          <w:p w14:paraId="10AFBCD8" w14:textId="77777777" w:rsidR="0087673B" w:rsidRPr="00EE3E21" w:rsidRDefault="0087673B" w:rsidP="00EE3E21">
            <w:pPr>
              <w:pStyle w:val="ListParagraph"/>
              <w:rPr>
                <w:rFonts w:cs="Arial"/>
                <w:szCs w:val="20"/>
                <w:lang w:val="en-US"/>
              </w:rPr>
            </w:pPr>
          </w:p>
          <w:p w14:paraId="6780D6D4" w14:textId="6D7799CB" w:rsidR="00BB4B68" w:rsidRPr="00BB4B68" w:rsidRDefault="00BB4B68" w:rsidP="00EE3E21">
            <w:pPr>
              <w:pStyle w:val="ListParagraph"/>
              <w:rPr>
                <w:rFonts w:cs="Arial"/>
                <w:b/>
                <w:szCs w:val="20"/>
                <w:lang w:val="en-US"/>
              </w:rPr>
            </w:pPr>
          </w:p>
        </w:tc>
      </w:tr>
      <w:tr w:rsidR="00BB4B68" w:rsidRPr="000B3D4F" w14:paraId="5879A2A0" w14:textId="77777777" w:rsidTr="00F005AC">
        <w:tc>
          <w:tcPr>
            <w:tcW w:w="9493" w:type="dxa"/>
            <w:gridSpan w:val="8"/>
            <w:shd w:val="clear" w:color="auto" w:fill="BFBFBF" w:themeFill="background1" w:themeFillShade="BF"/>
          </w:tcPr>
          <w:p w14:paraId="278C9D42" w14:textId="77777777" w:rsidR="00BB4B68" w:rsidRPr="000B3D4F" w:rsidRDefault="00BB4B68" w:rsidP="00FA7F6B">
            <w:pPr>
              <w:spacing w:after="240"/>
              <w:rPr>
                <w:rFonts w:cs="Arial"/>
                <w:b/>
                <w:smallCaps/>
                <w:szCs w:val="20"/>
              </w:rPr>
            </w:pPr>
            <w:r w:rsidRPr="000B3D4F">
              <w:rPr>
                <w:rFonts w:cs="Arial"/>
                <w:b/>
                <w:smallCaps/>
                <w:szCs w:val="20"/>
              </w:rPr>
              <w:lastRenderedPageBreak/>
              <w:t>Signatures</w:t>
            </w:r>
          </w:p>
        </w:tc>
      </w:tr>
      <w:tr w:rsidR="00BB4B68" w:rsidRPr="000B3D4F" w14:paraId="4E3844AE" w14:textId="77777777" w:rsidTr="00F005AC">
        <w:tc>
          <w:tcPr>
            <w:tcW w:w="4135" w:type="dxa"/>
            <w:gridSpan w:val="3"/>
          </w:tcPr>
          <w:p w14:paraId="4D60B010" w14:textId="77777777" w:rsidR="00BB4B68" w:rsidRPr="000B3D4F" w:rsidRDefault="00BB4B68" w:rsidP="00FA7F6B">
            <w:pPr>
              <w:spacing w:after="240"/>
              <w:rPr>
                <w:rFonts w:cs="Arial"/>
                <w:b/>
                <w:szCs w:val="20"/>
              </w:rPr>
            </w:pPr>
            <w:r w:rsidRPr="000B3D4F">
              <w:rPr>
                <w:rFonts w:cs="Arial"/>
                <w:b/>
                <w:szCs w:val="20"/>
              </w:rPr>
              <w:t xml:space="preserve">Signature:  </w:t>
            </w:r>
          </w:p>
        </w:tc>
        <w:tc>
          <w:tcPr>
            <w:tcW w:w="1620" w:type="dxa"/>
            <w:gridSpan w:val="2"/>
          </w:tcPr>
          <w:p w14:paraId="114F2AC9" w14:textId="77777777" w:rsidR="00BB4B68" w:rsidRPr="000B3D4F" w:rsidRDefault="00BB4B68" w:rsidP="00FA7F6B">
            <w:pPr>
              <w:spacing w:after="240"/>
              <w:rPr>
                <w:rFonts w:cs="Arial"/>
                <w:b/>
                <w:szCs w:val="20"/>
              </w:rPr>
            </w:pPr>
            <w:r w:rsidRPr="000B3D4F">
              <w:rPr>
                <w:rFonts w:cs="Arial"/>
                <w:b/>
                <w:szCs w:val="20"/>
              </w:rPr>
              <w:t>Agreed by Government</w:t>
            </w:r>
          </w:p>
        </w:tc>
        <w:tc>
          <w:tcPr>
            <w:tcW w:w="3738" w:type="dxa"/>
            <w:gridSpan w:val="3"/>
          </w:tcPr>
          <w:p w14:paraId="252913BF" w14:textId="5E122190" w:rsidR="00BB4B68" w:rsidRPr="000B3D4F" w:rsidRDefault="00BB4B68" w:rsidP="00FA7F6B">
            <w:pPr>
              <w:spacing w:after="240"/>
              <w:rPr>
                <w:rFonts w:cs="Arial"/>
                <w:b/>
                <w:szCs w:val="20"/>
              </w:rPr>
            </w:pPr>
            <w:r>
              <w:rPr>
                <w:rFonts w:cs="Arial"/>
                <w:b/>
                <w:szCs w:val="20"/>
              </w:rPr>
              <w:t>xx</w:t>
            </w:r>
            <w:r w:rsidRPr="000B3D4F">
              <w:rPr>
                <w:rFonts w:cs="Arial"/>
                <w:b/>
                <w:szCs w:val="20"/>
              </w:rPr>
              <w:t>/</w:t>
            </w:r>
            <w:r>
              <w:rPr>
                <w:rFonts w:cs="Arial"/>
                <w:b/>
                <w:szCs w:val="20"/>
              </w:rPr>
              <w:t>month</w:t>
            </w:r>
            <w:r w:rsidRPr="000B3D4F">
              <w:rPr>
                <w:rFonts w:cs="Arial"/>
                <w:b/>
                <w:szCs w:val="20"/>
              </w:rPr>
              <w:t>/</w:t>
            </w:r>
            <w:r>
              <w:rPr>
                <w:rFonts w:cs="Arial"/>
                <w:b/>
                <w:szCs w:val="20"/>
              </w:rPr>
              <w:t>2017</w:t>
            </w:r>
            <w:r w:rsidRPr="000B3D4F">
              <w:rPr>
                <w:rFonts w:cs="Arial"/>
                <w:b/>
                <w:szCs w:val="20"/>
              </w:rPr>
              <w:t>:</w:t>
            </w:r>
          </w:p>
          <w:p w14:paraId="33E75F1A" w14:textId="77777777" w:rsidR="00BB4B68" w:rsidRPr="000B3D4F" w:rsidRDefault="00BB4B68" w:rsidP="00FA7F6B">
            <w:pPr>
              <w:spacing w:after="240"/>
              <w:rPr>
                <w:rFonts w:cs="Arial"/>
                <w:szCs w:val="20"/>
              </w:rPr>
            </w:pPr>
          </w:p>
        </w:tc>
      </w:tr>
      <w:tr w:rsidR="00BB4B68" w:rsidRPr="000B3D4F" w14:paraId="5877C1EF" w14:textId="77777777" w:rsidTr="00F005AC">
        <w:tc>
          <w:tcPr>
            <w:tcW w:w="4135" w:type="dxa"/>
            <w:gridSpan w:val="3"/>
          </w:tcPr>
          <w:p w14:paraId="5FAFB80D" w14:textId="77777777" w:rsidR="00BB4B68" w:rsidRDefault="00BB4B68" w:rsidP="00FA7F6B">
            <w:pPr>
              <w:spacing w:after="240"/>
              <w:rPr>
                <w:rFonts w:cs="Arial"/>
                <w:b/>
                <w:szCs w:val="20"/>
              </w:rPr>
            </w:pPr>
            <w:r w:rsidRPr="000B3D4F">
              <w:rPr>
                <w:rFonts w:cs="Arial"/>
                <w:b/>
                <w:szCs w:val="20"/>
              </w:rPr>
              <w:t xml:space="preserve">Signature:  </w:t>
            </w:r>
          </w:p>
          <w:p w14:paraId="7334B9B0" w14:textId="77777777" w:rsidR="00BB4B68" w:rsidRPr="000B3D4F" w:rsidRDefault="00BB4B68" w:rsidP="00FA7F6B">
            <w:pPr>
              <w:spacing w:after="240"/>
              <w:rPr>
                <w:rFonts w:cs="Arial"/>
                <w:b/>
                <w:szCs w:val="20"/>
              </w:rPr>
            </w:pPr>
            <w:r>
              <w:rPr>
                <w:rFonts w:cs="Arial"/>
                <w:b/>
                <w:szCs w:val="20"/>
              </w:rPr>
              <w:t xml:space="preserve">Mr. Cedric Nelom </w:t>
            </w:r>
          </w:p>
        </w:tc>
        <w:tc>
          <w:tcPr>
            <w:tcW w:w="1620" w:type="dxa"/>
            <w:gridSpan w:val="2"/>
          </w:tcPr>
          <w:p w14:paraId="48C49584" w14:textId="77777777" w:rsidR="00BB4B68" w:rsidRPr="00BB4B68" w:rsidRDefault="00BB4B68" w:rsidP="00FA7F6B">
            <w:pPr>
              <w:spacing w:after="240"/>
              <w:rPr>
                <w:rFonts w:cs="Arial"/>
                <w:b/>
                <w:szCs w:val="20"/>
                <w:lang w:val="en-US"/>
              </w:rPr>
            </w:pPr>
          </w:p>
          <w:p w14:paraId="38A8B71B" w14:textId="77777777" w:rsidR="00BB4B68" w:rsidRPr="00BB4B68" w:rsidRDefault="00BB4B68" w:rsidP="00FA7F6B">
            <w:pPr>
              <w:spacing w:after="240"/>
              <w:rPr>
                <w:rFonts w:cs="Arial"/>
                <w:b/>
                <w:szCs w:val="20"/>
                <w:lang w:val="en-US"/>
              </w:rPr>
            </w:pPr>
            <w:r w:rsidRPr="00BB4B68">
              <w:rPr>
                <w:rFonts w:cs="Arial"/>
                <w:b/>
                <w:szCs w:val="20"/>
                <w:lang w:val="en-US"/>
              </w:rPr>
              <w:t>Agreed by Implementing Partner</w:t>
            </w:r>
            <w:r w:rsidRPr="00BB4B68">
              <w:rPr>
                <w:lang w:val="en-US"/>
              </w:rPr>
              <w:t xml:space="preserve"> </w:t>
            </w:r>
            <w:r w:rsidRPr="00BB4B68">
              <w:rPr>
                <w:rFonts w:cs="Arial"/>
                <w:b/>
                <w:szCs w:val="20"/>
                <w:lang w:val="en-US"/>
              </w:rPr>
              <w:t xml:space="preserve">NIMOS </w:t>
            </w:r>
          </w:p>
        </w:tc>
        <w:tc>
          <w:tcPr>
            <w:tcW w:w="3738" w:type="dxa"/>
            <w:gridSpan w:val="3"/>
          </w:tcPr>
          <w:p w14:paraId="3B854B98" w14:textId="77777777" w:rsidR="00BB4B68" w:rsidRPr="00BB4B68" w:rsidRDefault="00BB4B68" w:rsidP="00FA7F6B">
            <w:pPr>
              <w:spacing w:after="240"/>
              <w:rPr>
                <w:rFonts w:cs="Arial"/>
                <w:b/>
                <w:szCs w:val="20"/>
                <w:lang w:val="en-US"/>
              </w:rPr>
            </w:pPr>
          </w:p>
          <w:p w14:paraId="03B1D652" w14:textId="5E1EE4E3" w:rsidR="00BB4B68" w:rsidRPr="000B3D4F" w:rsidRDefault="007441D5" w:rsidP="00BB4B68">
            <w:pPr>
              <w:spacing w:after="240"/>
              <w:rPr>
                <w:rFonts w:cs="Arial"/>
                <w:b/>
                <w:szCs w:val="20"/>
              </w:rPr>
            </w:pPr>
            <w:r>
              <w:rPr>
                <w:rFonts w:cs="Arial"/>
                <w:b/>
                <w:szCs w:val="20"/>
              </w:rPr>
              <w:t>20</w:t>
            </w:r>
            <w:r w:rsidR="00BB4B68" w:rsidRPr="000B3D4F">
              <w:rPr>
                <w:rFonts w:cs="Arial"/>
                <w:b/>
                <w:szCs w:val="20"/>
              </w:rPr>
              <w:t>/</w:t>
            </w:r>
            <w:r>
              <w:rPr>
                <w:rFonts w:cs="Arial"/>
                <w:b/>
                <w:szCs w:val="20"/>
              </w:rPr>
              <w:t>December</w:t>
            </w:r>
            <w:r w:rsidR="00BB4B68" w:rsidRPr="000B3D4F">
              <w:rPr>
                <w:rFonts w:cs="Arial"/>
                <w:b/>
                <w:szCs w:val="20"/>
              </w:rPr>
              <w:t>/</w:t>
            </w:r>
            <w:r w:rsidR="00BB4B68">
              <w:rPr>
                <w:rFonts w:cs="Arial"/>
                <w:b/>
                <w:szCs w:val="20"/>
              </w:rPr>
              <w:t>2017</w:t>
            </w:r>
            <w:r w:rsidR="00BB4B68" w:rsidRPr="000B3D4F">
              <w:rPr>
                <w:rFonts w:cs="Arial"/>
                <w:b/>
                <w:szCs w:val="20"/>
              </w:rPr>
              <w:t>:</w:t>
            </w:r>
          </w:p>
        </w:tc>
      </w:tr>
      <w:tr w:rsidR="00BB4B68" w:rsidRPr="000B3D4F" w14:paraId="2CFFA424" w14:textId="77777777" w:rsidTr="00F005AC">
        <w:tc>
          <w:tcPr>
            <w:tcW w:w="4135" w:type="dxa"/>
            <w:gridSpan w:val="3"/>
          </w:tcPr>
          <w:p w14:paraId="0557C5DE" w14:textId="77777777" w:rsidR="00BB4B68" w:rsidRDefault="00BB4B68" w:rsidP="00FA7F6B">
            <w:pPr>
              <w:spacing w:after="240"/>
              <w:rPr>
                <w:rFonts w:cs="Arial"/>
                <w:b/>
                <w:szCs w:val="20"/>
              </w:rPr>
            </w:pPr>
            <w:r w:rsidRPr="000B3D4F">
              <w:rPr>
                <w:rFonts w:cs="Arial"/>
                <w:b/>
                <w:szCs w:val="20"/>
              </w:rPr>
              <w:t xml:space="preserve">Signature:  </w:t>
            </w:r>
          </w:p>
          <w:p w14:paraId="134E9989" w14:textId="77777777" w:rsidR="00BB4B68" w:rsidRPr="000B3D4F" w:rsidRDefault="00BB4B68" w:rsidP="00FA7F6B">
            <w:pPr>
              <w:spacing w:after="240"/>
              <w:rPr>
                <w:rFonts w:cs="Arial"/>
                <w:b/>
                <w:szCs w:val="20"/>
              </w:rPr>
            </w:pPr>
            <w:r>
              <w:rPr>
                <w:rFonts w:cs="Arial"/>
                <w:b/>
                <w:szCs w:val="20"/>
              </w:rPr>
              <w:t>Mr. Armstrong Alexis</w:t>
            </w:r>
          </w:p>
        </w:tc>
        <w:tc>
          <w:tcPr>
            <w:tcW w:w="1620" w:type="dxa"/>
            <w:gridSpan w:val="2"/>
          </w:tcPr>
          <w:p w14:paraId="4964E5F9" w14:textId="77777777" w:rsidR="00BB4B68" w:rsidRDefault="00BB4B68" w:rsidP="00FA7F6B">
            <w:pPr>
              <w:spacing w:after="240"/>
              <w:rPr>
                <w:rFonts w:cs="Arial"/>
                <w:b/>
                <w:szCs w:val="20"/>
              </w:rPr>
            </w:pPr>
          </w:p>
          <w:p w14:paraId="3ED76D0E" w14:textId="77777777" w:rsidR="00BB4B68" w:rsidRPr="000B3D4F" w:rsidRDefault="00BB4B68" w:rsidP="00FA7F6B">
            <w:pPr>
              <w:spacing w:after="240"/>
              <w:rPr>
                <w:rFonts w:cs="Arial"/>
                <w:b/>
                <w:szCs w:val="20"/>
              </w:rPr>
            </w:pPr>
            <w:r w:rsidRPr="000B3D4F">
              <w:rPr>
                <w:rFonts w:cs="Arial"/>
                <w:b/>
                <w:szCs w:val="20"/>
              </w:rPr>
              <w:t>Agreed by UNDP</w:t>
            </w:r>
          </w:p>
        </w:tc>
        <w:tc>
          <w:tcPr>
            <w:tcW w:w="3738" w:type="dxa"/>
            <w:gridSpan w:val="3"/>
          </w:tcPr>
          <w:p w14:paraId="697F85A1" w14:textId="77777777" w:rsidR="00BB4B68" w:rsidRDefault="00BB4B68" w:rsidP="00FA7F6B">
            <w:pPr>
              <w:spacing w:after="240"/>
              <w:rPr>
                <w:rFonts w:cs="Arial"/>
                <w:b/>
                <w:szCs w:val="20"/>
              </w:rPr>
            </w:pPr>
          </w:p>
          <w:p w14:paraId="5C365FA2" w14:textId="4154A440" w:rsidR="00BB4B68" w:rsidRPr="000B3D4F" w:rsidRDefault="007441D5" w:rsidP="00BB4B68">
            <w:pPr>
              <w:spacing w:after="240"/>
              <w:rPr>
                <w:rFonts w:cs="Arial"/>
                <w:b/>
                <w:szCs w:val="20"/>
              </w:rPr>
            </w:pPr>
            <w:r>
              <w:rPr>
                <w:rFonts w:cs="Arial"/>
                <w:b/>
                <w:szCs w:val="20"/>
              </w:rPr>
              <w:t>20</w:t>
            </w:r>
            <w:r w:rsidR="00BB4B68" w:rsidRPr="000B3D4F">
              <w:rPr>
                <w:rFonts w:cs="Arial"/>
                <w:b/>
                <w:szCs w:val="20"/>
              </w:rPr>
              <w:t>/</w:t>
            </w:r>
            <w:r>
              <w:rPr>
                <w:rFonts w:cs="Arial"/>
                <w:b/>
                <w:szCs w:val="20"/>
              </w:rPr>
              <w:t>December</w:t>
            </w:r>
            <w:r w:rsidR="00BB4B68">
              <w:rPr>
                <w:rFonts w:cs="Arial"/>
                <w:b/>
                <w:szCs w:val="20"/>
              </w:rPr>
              <w:t>/2017</w:t>
            </w:r>
            <w:r w:rsidR="00BB4B68" w:rsidRPr="000B3D4F">
              <w:rPr>
                <w:rFonts w:cs="Arial"/>
                <w:b/>
                <w:szCs w:val="20"/>
              </w:rPr>
              <w:t>:</w:t>
            </w:r>
          </w:p>
        </w:tc>
      </w:tr>
    </w:tbl>
    <w:p w14:paraId="6648CE32" w14:textId="77777777" w:rsidR="00BB4B68" w:rsidRPr="000B3D4F" w:rsidRDefault="00BB4B68" w:rsidP="00BB4B68">
      <w:pPr>
        <w:spacing w:after="240"/>
        <w:rPr>
          <w:rFonts w:cs="Arial"/>
          <w:b/>
          <w:szCs w:val="20"/>
        </w:rPr>
      </w:pPr>
    </w:p>
    <w:sdt>
      <w:sdtPr>
        <w:rPr>
          <w:rFonts w:asciiTheme="minorHAnsi" w:eastAsia="Times New Roman" w:hAnsiTheme="minorHAnsi" w:cs="Times New Roman"/>
          <w:b w:val="0"/>
          <w:bCs w:val="0"/>
          <w:color w:val="auto"/>
          <w:sz w:val="22"/>
          <w:szCs w:val="22"/>
          <w:lang w:val="en-GB"/>
        </w:rPr>
        <w:id w:val="1733802908"/>
        <w:docPartObj>
          <w:docPartGallery w:val="Table of Contents"/>
          <w:docPartUnique/>
        </w:docPartObj>
      </w:sdtPr>
      <w:sdtEndPr>
        <w:rPr>
          <w:rFonts w:eastAsiaTheme="minorHAnsi" w:cstheme="minorBidi"/>
          <w:noProof/>
          <w:lang w:val="nl-NL"/>
        </w:rPr>
      </w:sdtEndPr>
      <w:sdtContent>
        <w:p w14:paraId="121B3B32" w14:textId="77777777" w:rsidR="00BB4B68" w:rsidRDefault="00BB4B68" w:rsidP="007441D5">
          <w:pPr>
            <w:pStyle w:val="TOCHeading"/>
            <w:numPr>
              <w:ilvl w:val="0"/>
              <w:numId w:val="0"/>
            </w:numPr>
            <w:spacing w:before="0" w:after="240" w:line="240" w:lineRule="auto"/>
            <w:ind w:left="432"/>
            <w:rPr>
              <w:rFonts w:asciiTheme="minorHAnsi" w:eastAsia="Times New Roman" w:hAnsiTheme="minorHAnsi" w:cs="Times New Roman"/>
              <w:b w:val="0"/>
              <w:bCs w:val="0"/>
              <w:color w:val="auto"/>
              <w:sz w:val="22"/>
              <w:szCs w:val="22"/>
              <w:lang w:val="en-GB"/>
            </w:rPr>
          </w:pPr>
        </w:p>
        <w:p w14:paraId="39BA9746" w14:textId="77777777" w:rsidR="00BB4B68" w:rsidRDefault="00BB4B68" w:rsidP="00BB4B68">
          <w:pPr>
            <w:spacing w:after="0"/>
            <w:rPr>
              <w:rFonts w:eastAsia="Times New Roman"/>
            </w:rPr>
          </w:pPr>
          <w:r>
            <w:rPr>
              <w:rFonts w:eastAsia="Times New Roman"/>
              <w:b/>
              <w:bCs/>
            </w:rPr>
            <w:br w:type="page"/>
          </w:r>
        </w:p>
        <w:p w14:paraId="464A356A" w14:textId="77777777" w:rsidR="00BB4B68" w:rsidRPr="001C4C6E" w:rsidRDefault="00BB4B68" w:rsidP="001C4C6E">
          <w:pPr>
            <w:rPr>
              <w:b/>
            </w:rPr>
          </w:pPr>
          <w:r w:rsidRPr="001C4C6E">
            <w:rPr>
              <w:b/>
            </w:rPr>
            <w:lastRenderedPageBreak/>
            <w:t>Table of Contents</w:t>
          </w:r>
        </w:p>
        <w:p w14:paraId="1B198E2D" w14:textId="5977D297" w:rsidR="001C4C6E" w:rsidRDefault="00BB4B68">
          <w:pPr>
            <w:pStyle w:val="TOC1"/>
            <w:rPr>
              <w:rFonts w:asciiTheme="minorHAnsi" w:hAnsiTheme="minorHAnsi" w:cstheme="minorBidi"/>
              <w:szCs w:val="22"/>
              <w:lang w:val="nl-NL" w:eastAsia="nl-NL"/>
            </w:rPr>
          </w:pPr>
          <w:r w:rsidRPr="001F6E52">
            <w:rPr>
              <w:rFonts w:asciiTheme="minorHAnsi" w:hAnsiTheme="minorHAnsi"/>
              <w:szCs w:val="20"/>
            </w:rPr>
            <w:fldChar w:fldCharType="begin"/>
          </w:r>
          <w:r w:rsidRPr="001F6E52">
            <w:rPr>
              <w:rFonts w:asciiTheme="minorHAnsi" w:hAnsiTheme="minorHAnsi"/>
              <w:szCs w:val="20"/>
            </w:rPr>
            <w:instrText xml:space="preserve"> TOC \o "1-3" \h \z \u </w:instrText>
          </w:r>
          <w:r w:rsidRPr="001F6E52">
            <w:rPr>
              <w:rFonts w:asciiTheme="minorHAnsi" w:hAnsiTheme="minorHAnsi"/>
              <w:szCs w:val="20"/>
            </w:rPr>
            <w:fldChar w:fldCharType="separate"/>
          </w:r>
          <w:hyperlink w:anchor="_Toc487589359" w:history="1">
            <w:r w:rsidR="001C4C6E" w:rsidRPr="00244643">
              <w:rPr>
                <w:rStyle w:val="Hyperlink"/>
              </w:rPr>
              <w:t>1.</w:t>
            </w:r>
            <w:r w:rsidR="001C4C6E">
              <w:rPr>
                <w:rFonts w:asciiTheme="minorHAnsi" w:hAnsiTheme="minorHAnsi" w:cstheme="minorBidi"/>
                <w:szCs w:val="22"/>
                <w:lang w:val="nl-NL" w:eastAsia="nl-NL"/>
              </w:rPr>
              <w:tab/>
            </w:r>
            <w:r w:rsidR="001C4C6E" w:rsidRPr="00244643">
              <w:rPr>
                <w:rStyle w:val="Hyperlink"/>
              </w:rPr>
              <w:t>Country Context</w:t>
            </w:r>
            <w:r w:rsidR="001C4C6E">
              <w:rPr>
                <w:webHidden/>
              </w:rPr>
              <w:tab/>
            </w:r>
            <w:r w:rsidR="001C4C6E">
              <w:rPr>
                <w:webHidden/>
              </w:rPr>
              <w:fldChar w:fldCharType="begin"/>
            </w:r>
            <w:r w:rsidR="001C4C6E">
              <w:rPr>
                <w:webHidden/>
              </w:rPr>
              <w:instrText xml:space="preserve"> PAGEREF _Toc487589359 \h </w:instrText>
            </w:r>
            <w:r w:rsidR="001C4C6E">
              <w:rPr>
                <w:webHidden/>
              </w:rPr>
            </w:r>
            <w:r w:rsidR="001C4C6E">
              <w:rPr>
                <w:webHidden/>
              </w:rPr>
              <w:fldChar w:fldCharType="separate"/>
            </w:r>
            <w:r w:rsidR="007441D5">
              <w:rPr>
                <w:webHidden/>
              </w:rPr>
              <w:t>6</w:t>
            </w:r>
            <w:r w:rsidR="001C4C6E">
              <w:rPr>
                <w:webHidden/>
              </w:rPr>
              <w:fldChar w:fldCharType="end"/>
            </w:r>
          </w:hyperlink>
        </w:p>
        <w:p w14:paraId="3E70153C" w14:textId="1E787003" w:rsidR="001C4C6E" w:rsidRDefault="007441D5">
          <w:pPr>
            <w:pStyle w:val="TOC2"/>
            <w:tabs>
              <w:tab w:val="left" w:pos="880"/>
              <w:tab w:val="right" w:leader="dot" w:pos="9062"/>
            </w:tabs>
            <w:rPr>
              <w:rFonts w:eastAsiaTheme="minorEastAsia"/>
              <w:noProof/>
              <w:lang w:eastAsia="nl-NL"/>
            </w:rPr>
          </w:pPr>
          <w:hyperlink w:anchor="_Toc487589360" w:history="1">
            <w:r w:rsidR="001C4C6E" w:rsidRPr="00244643">
              <w:rPr>
                <w:rStyle w:val="Hyperlink"/>
                <w:noProof/>
              </w:rPr>
              <w:t>1.1</w:t>
            </w:r>
            <w:r w:rsidR="001C4C6E">
              <w:rPr>
                <w:rFonts w:eastAsiaTheme="minorEastAsia"/>
                <w:noProof/>
                <w:lang w:eastAsia="nl-NL"/>
              </w:rPr>
              <w:tab/>
            </w:r>
            <w:r w:rsidR="001C4C6E" w:rsidRPr="00244643">
              <w:rPr>
                <w:rStyle w:val="Hyperlink"/>
                <w:noProof/>
              </w:rPr>
              <w:t>Economy</w:t>
            </w:r>
            <w:r w:rsidR="001C4C6E">
              <w:rPr>
                <w:noProof/>
                <w:webHidden/>
              </w:rPr>
              <w:tab/>
            </w:r>
            <w:r w:rsidR="001C4C6E">
              <w:rPr>
                <w:noProof/>
                <w:webHidden/>
              </w:rPr>
              <w:fldChar w:fldCharType="begin"/>
            </w:r>
            <w:r w:rsidR="001C4C6E">
              <w:rPr>
                <w:noProof/>
                <w:webHidden/>
              </w:rPr>
              <w:instrText xml:space="preserve"> PAGEREF _Toc487589360 \h </w:instrText>
            </w:r>
            <w:r w:rsidR="001C4C6E">
              <w:rPr>
                <w:noProof/>
                <w:webHidden/>
              </w:rPr>
            </w:r>
            <w:r w:rsidR="001C4C6E">
              <w:rPr>
                <w:noProof/>
                <w:webHidden/>
              </w:rPr>
              <w:fldChar w:fldCharType="separate"/>
            </w:r>
            <w:r>
              <w:rPr>
                <w:noProof/>
                <w:webHidden/>
              </w:rPr>
              <w:t>6</w:t>
            </w:r>
            <w:r w:rsidR="001C4C6E">
              <w:rPr>
                <w:noProof/>
                <w:webHidden/>
              </w:rPr>
              <w:fldChar w:fldCharType="end"/>
            </w:r>
          </w:hyperlink>
        </w:p>
        <w:p w14:paraId="6CEB842C" w14:textId="4A1DC6BA" w:rsidR="001C4C6E" w:rsidRDefault="007441D5">
          <w:pPr>
            <w:pStyle w:val="TOC1"/>
            <w:rPr>
              <w:rFonts w:asciiTheme="minorHAnsi" w:hAnsiTheme="minorHAnsi" w:cstheme="minorBidi"/>
              <w:szCs w:val="22"/>
              <w:lang w:val="nl-NL" w:eastAsia="nl-NL"/>
            </w:rPr>
          </w:pPr>
          <w:hyperlink w:anchor="_Toc487589361" w:history="1">
            <w:r w:rsidR="001C4C6E" w:rsidRPr="00244643">
              <w:rPr>
                <w:rStyle w:val="Hyperlink"/>
              </w:rPr>
              <w:t>2.</w:t>
            </w:r>
            <w:r w:rsidR="001C4C6E">
              <w:rPr>
                <w:rFonts w:asciiTheme="minorHAnsi" w:hAnsiTheme="minorHAnsi" w:cstheme="minorBidi"/>
                <w:szCs w:val="22"/>
                <w:lang w:val="nl-NL" w:eastAsia="nl-NL"/>
              </w:rPr>
              <w:tab/>
            </w:r>
            <w:r w:rsidR="001C4C6E" w:rsidRPr="00244643">
              <w:rPr>
                <w:rStyle w:val="Hyperlink"/>
              </w:rPr>
              <w:t>Sector context: ASGM in Suriname</w:t>
            </w:r>
            <w:r w:rsidR="001C4C6E">
              <w:rPr>
                <w:webHidden/>
              </w:rPr>
              <w:tab/>
            </w:r>
            <w:r w:rsidR="001C4C6E">
              <w:rPr>
                <w:webHidden/>
              </w:rPr>
              <w:fldChar w:fldCharType="begin"/>
            </w:r>
            <w:r w:rsidR="001C4C6E">
              <w:rPr>
                <w:webHidden/>
              </w:rPr>
              <w:instrText xml:space="preserve"> PAGEREF _Toc487589361 \h </w:instrText>
            </w:r>
            <w:r w:rsidR="001C4C6E">
              <w:rPr>
                <w:webHidden/>
              </w:rPr>
            </w:r>
            <w:r w:rsidR="001C4C6E">
              <w:rPr>
                <w:webHidden/>
              </w:rPr>
              <w:fldChar w:fldCharType="separate"/>
            </w:r>
            <w:r>
              <w:rPr>
                <w:webHidden/>
              </w:rPr>
              <w:t>7</w:t>
            </w:r>
            <w:r w:rsidR="001C4C6E">
              <w:rPr>
                <w:webHidden/>
              </w:rPr>
              <w:fldChar w:fldCharType="end"/>
            </w:r>
          </w:hyperlink>
        </w:p>
        <w:p w14:paraId="223A82F9" w14:textId="6ACF7A1B" w:rsidR="001C4C6E" w:rsidRDefault="007441D5">
          <w:pPr>
            <w:pStyle w:val="TOC2"/>
            <w:tabs>
              <w:tab w:val="left" w:pos="880"/>
              <w:tab w:val="right" w:leader="dot" w:pos="9062"/>
            </w:tabs>
            <w:rPr>
              <w:rFonts w:eastAsiaTheme="minorEastAsia"/>
              <w:noProof/>
              <w:lang w:eastAsia="nl-NL"/>
            </w:rPr>
          </w:pPr>
          <w:hyperlink w:anchor="_Toc487589362" w:history="1">
            <w:r w:rsidR="001C4C6E" w:rsidRPr="00244643">
              <w:rPr>
                <w:rStyle w:val="Hyperlink"/>
                <w:noProof/>
              </w:rPr>
              <w:t>2.1</w:t>
            </w:r>
            <w:r w:rsidR="001C4C6E">
              <w:rPr>
                <w:rFonts w:eastAsiaTheme="minorEastAsia"/>
                <w:noProof/>
                <w:lang w:eastAsia="nl-NL"/>
              </w:rPr>
              <w:tab/>
            </w:r>
            <w:r w:rsidR="001C4C6E" w:rsidRPr="00244643">
              <w:rPr>
                <w:rStyle w:val="Hyperlink"/>
                <w:noProof/>
              </w:rPr>
              <w:t>Law and regulations</w:t>
            </w:r>
            <w:r w:rsidR="001C4C6E">
              <w:rPr>
                <w:noProof/>
                <w:webHidden/>
              </w:rPr>
              <w:tab/>
            </w:r>
            <w:r w:rsidR="001C4C6E">
              <w:rPr>
                <w:noProof/>
                <w:webHidden/>
              </w:rPr>
              <w:fldChar w:fldCharType="begin"/>
            </w:r>
            <w:r w:rsidR="001C4C6E">
              <w:rPr>
                <w:noProof/>
                <w:webHidden/>
              </w:rPr>
              <w:instrText xml:space="preserve"> PAGEREF _Toc487589362 \h </w:instrText>
            </w:r>
            <w:r w:rsidR="001C4C6E">
              <w:rPr>
                <w:noProof/>
                <w:webHidden/>
              </w:rPr>
            </w:r>
            <w:r w:rsidR="001C4C6E">
              <w:rPr>
                <w:noProof/>
                <w:webHidden/>
              </w:rPr>
              <w:fldChar w:fldCharType="separate"/>
            </w:r>
            <w:r>
              <w:rPr>
                <w:noProof/>
                <w:webHidden/>
              </w:rPr>
              <w:t>9</w:t>
            </w:r>
            <w:r w:rsidR="001C4C6E">
              <w:rPr>
                <w:noProof/>
                <w:webHidden/>
              </w:rPr>
              <w:fldChar w:fldCharType="end"/>
            </w:r>
          </w:hyperlink>
        </w:p>
        <w:p w14:paraId="39BF4F04" w14:textId="085B66B4" w:rsidR="001C4C6E" w:rsidRDefault="007441D5">
          <w:pPr>
            <w:pStyle w:val="TOC2"/>
            <w:tabs>
              <w:tab w:val="left" w:pos="880"/>
              <w:tab w:val="right" w:leader="dot" w:pos="9062"/>
            </w:tabs>
            <w:rPr>
              <w:rFonts w:eastAsiaTheme="minorEastAsia"/>
              <w:noProof/>
              <w:lang w:eastAsia="nl-NL"/>
            </w:rPr>
          </w:pPr>
          <w:hyperlink w:anchor="_Toc487589363" w:history="1">
            <w:r w:rsidR="001C4C6E" w:rsidRPr="00244643">
              <w:rPr>
                <w:rStyle w:val="Hyperlink"/>
                <w:noProof/>
              </w:rPr>
              <w:t>2.2</w:t>
            </w:r>
            <w:r w:rsidR="001C4C6E">
              <w:rPr>
                <w:rFonts w:eastAsiaTheme="minorEastAsia"/>
                <w:noProof/>
                <w:lang w:eastAsia="nl-NL"/>
              </w:rPr>
              <w:tab/>
            </w:r>
            <w:r w:rsidR="001C4C6E" w:rsidRPr="00244643">
              <w:rPr>
                <w:rStyle w:val="Hyperlink"/>
                <w:noProof/>
              </w:rPr>
              <w:t>Stakeholders initiatives</w:t>
            </w:r>
            <w:r w:rsidR="001C4C6E">
              <w:rPr>
                <w:noProof/>
                <w:webHidden/>
              </w:rPr>
              <w:tab/>
            </w:r>
            <w:r w:rsidR="001C4C6E">
              <w:rPr>
                <w:noProof/>
                <w:webHidden/>
              </w:rPr>
              <w:fldChar w:fldCharType="begin"/>
            </w:r>
            <w:r w:rsidR="001C4C6E">
              <w:rPr>
                <w:noProof/>
                <w:webHidden/>
              </w:rPr>
              <w:instrText xml:space="preserve"> PAGEREF _Toc487589363 \h </w:instrText>
            </w:r>
            <w:r w:rsidR="001C4C6E">
              <w:rPr>
                <w:noProof/>
                <w:webHidden/>
              </w:rPr>
            </w:r>
            <w:r w:rsidR="001C4C6E">
              <w:rPr>
                <w:noProof/>
                <w:webHidden/>
              </w:rPr>
              <w:fldChar w:fldCharType="separate"/>
            </w:r>
            <w:r>
              <w:rPr>
                <w:noProof/>
                <w:webHidden/>
              </w:rPr>
              <w:t>10</w:t>
            </w:r>
            <w:r w:rsidR="001C4C6E">
              <w:rPr>
                <w:noProof/>
                <w:webHidden/>
              </w:rPr>
              <w:fldChar w:fldCharType="end"/>
            </w:r>
          </w:hyperlink>
        </w:p>
        <w:p w14:paraId="7B472E02" w14:textId="7EA6DA09" w:rsidR="001C4C6E" w:rsidRDefault="007441D5">
          <w:pPr>
            <w:pStyle w:val="TOC1"/>
            <w:rPr>
              <w:rFonts w:asciiTheme="minorHAnsi" w:hAnsiTheme="minorHAnsi" w:cstheme="minorBidi"/>
              <w:szCs w:val="22"/>
              <w:lang w:val="nl-NL" w:eastAsia="nl-NL"/>
            </w:rPr>
          </w:pPr>
          <w:hyperlink w:anchor="_Toc487589364" w:history="1">
            <w:r w:rsidR="001C4C6E" w:rsidRPr="00244643">
              <w:rPr>
                <w:rStyle w:val="Hyperlink"/>
              </w:rPr>
              <w:t>3</w:t>
            </w:r>
            <w:r w:rsidR="001C4C6E">
              <w:rPr>
                <w:rFonts w:asciiTheme="minorHAnsi" w:hAnsiTheme="minorHAnsi" w:cstheme="minorBidi"/>
                <w:szCs w:val="22"/>
                <w:lang w:val="nl-NL" w:eastAsia="nl-NL"/>
              </w:rPr>
              <w:tab/>
            </w:r>
            <w:r w:rsidR="001C4C6E" w:rsidRPr="00244643">
              <w:rPr>
                <w:rStyle w:val="Hyperlink"/>
              </w:rPr>
              <w:t>Minamata Convention</w:t>
            </w:r>
            <w:r w:rsidR="001C4C6E">
              <w:rPr>
                <w:webHidden/>
              </w:rPr>
              <w:tab/>
            </w:r>
            <w:r w:rsidR="001C4C6E">
              <w:rPr>
                <w:webHidden/>
              </w:rPr>
              <w:fldChar w:fldCharType="begin"/>
            </w:r>
            <w:r w:rsidR="001C4C6E">
              <w:rPr>
                <w:webHidden/>
              </w:rPr>
              <w:instrText xml:space="preserve"> PAGEREF _Toc487589364 \h </w:instrText>
            </w:r>
            <w:r w:rsidR="001C4C6E">
              <w:rPr>
                <w:webHidden/>
              </w:rPr>
            </w:r>
            <w:r w:rsidR="001C4C6E">
              <w:rPr>
                <w:webHidden/>
              </w:rPr>
              <w:fldChar w:fldCharType="separate"/>
            </w:r>
            <w:r>
              <w:rPr>
                <w:webHidden/>
              </w:rPr>
              <w:t>10</w:t>
            </w:r>
            <w:r w:rsidR="001C4C6E">
              <w:rPr>
                <w:webHidden/>
              </w:rPr>
              <w:fldChar w:fldCharType="end"/>
            </w:r>
          </w:hyperlink>
        </w:p>
        <w:p w14:paraId="74BCEF98" w14:textId="54CC6628" w:rsidR="001C4C6E" w:rsidRDefault="007441D5">
          <w:pPr>
            <w:pStyle w:val="TOC2"/>
            <w:tabs>
              <w:tab w:val="left" w:pos="880"/>
              <w:tab w:val="right" w:leader="dot" w:pos="9062"/>
            </w:tabs>
            <w:rPr>
              <w:rFonts w:eastAsiaTheme="minorEastAsia"/>
              <w:noProof/>
              <w:lang w:eastAsia="nl-NL"/>
            </w:rPr>
          </w:pPr>
          <w:hyperlink w:anchor="_Toc487589365" w:history="1">
            <w:r w:rsidR="001C4C6E" w:rsidRPr="00244643">
              <w:rPr>
                <w:rStyle w:val="Hyperlink"/>
                <w:noProof/>
              </w:rPr>
              <w:t>3.1</w:t>
            </w:r>
            <w:r w:rsidR="001C4C6E">
              <w:rPr>
                <w:rFonts w:eastAsiaTheme="minorEastAsia"/>
                <w:noProof/>
                <w:lang w:eastAsia="nl-NL"/>
              </w:rPr>
              <w:tab/>
            </w:r>
            <w:r w:rsidR="001C4C6E" w:rsidRPr="00244643">
              <w:rPr>
                <w:rStyle w:val="Hyperlink"/>
                <w:noProof/>
              </w:rPr>
              <w:t>NAP Suriname</w:t>
            </w:r>
            <w:r w:rsidR="001C4C6E">
              <w:rPr>
                <w:noProof/>
                <w:webHidden/>
              </w:rPr>
              <w:tab/>
            </w:r>
            <w:r w:rsidR="001C4C6E">
              <w:rPr>
                <w:noProof/>
                <w:webHidden/>
              </w:rPr>
              <w:fldChar w:fldCharType="begin"/>
            </w:r>
            <w:r w:rsidR="001C4C6E">
              <w:rPr>
                <w:noProof/>
                <w:webHidden/>
              </w:rPr>
              <w:instrText xml:space="preserve"> PAGEREF _Toc487589365 \h </w:instrText>
            </w:r>
            <w:r w:rsidR="001C4C6E">
              <w:rPr>
                <w:noProof/>
                <w:webHidden/>
              </w:rPr>
            </w:r>
            <w:r w:rsidR="001C4C6E">
              <w:rPr>
                <w:noProof/>
                <w:webHidden/>
              </w:rPr>
              <w:fldChar w:fldCharType="separate"/>
            </w:r>
            <w:r>
              <w:rPr>
                <w:noProof/>
                <w:webHidden/>
              </w:rPr>
              <w:t>11</w:t>
            </w:r>
            <w:r w:rsidR="001C4C6E">
              <w:rPr>
                <w:noProof/>
                <w:webHidden/>
              </w:rPr>
              <w:fldChar w:fldCharType="end"/>
            </w:r>
          </w:hyperlink>
        </w:p>
        <w:p w14:paraId="0F409794" w14:textId="54012E58" w:rsidR="001C4C6E" w:rsidRDefault="007441D5">
          <w:pPr>
            <w:pStyle w:val="TOC1"/>
            <w:rPr>
              <w:rFonts w:asciiTheme="minorHAnsi" w:hAnsiTheme="minorHAnsi" w:cstheme="minorBidi"/>
              <w:szCs w:val="22"/>
              <w:lang w:val="nl-NL" w:eastAsia="nl-NL"/>
            </w:rPr>
          </w:pPr>
          <w:hyperlink w:anchor="_Toc487589366" w:history="1">
            <w:r w:rsidR="001C4C6E" w:rsidRPr="00244643">
              <w:rPr>
                <w:rStyle w:val="Hyperlink"/>
              </w:rPr>
              <w:t>4</w:t>
            </w:r>
            <w:r w:rsidR="001C4C6E">
              <w:rPr>
                <w:rFonts w:asciiTheme="minorHAnsi" w:hAnsiTheme="minorHAnsi" w:cstheme="minorBidi"/>
                <w:szCs w:val="22"/>
                <w:lang w:val="nl-NL" w:eastAsia="nl-NL"/>
              </w:rPr>
              <w:tab/>
            </w:r>
            <w:r w:rsidR="001C4C6E" w:rsidRPr="00244643">
              <w:rPr>
                <w:rStyle w:val="Hyperlink"/>
              </w:rPr>
              <w:t>STRATEGY</w:t>
            </w:r>
            <w:r w:rsidR="001C4C6E">
              <w:rPr>
                <w:webHidden/>
              </w:rPr>
              <w:tab/>
            </w:r>
            <w:r w:rsidR="001C4C6E">
              <w:rPr>
                <w:webHidden/>
              </w:rPr>
              <w:fldChar w:fldCharType="begin"/>
            </w:r>
            <w:r w:rsidR="001C4C6E">
              <w:rPr>
                <w:webHidden/>
              </w:rPr>
              <w:instrText xml:space="preserve"> PAGEREF _Toc487589366 \h </w:instrText>
            </w:r>
            <w:r w:rsidR="001C4C6E">
              <w:rPr>
                <w:webHidden/>
              </w:rPr>
            </w:r>
            <w:r w:rsidR="001C4C6E">
              <w:rPr>
                <w:webHidden/>
              </w:rPr>
              <w:fldChar w:fldCharType="separate"/>
            </w:r>
            <w:r>
              <w:rPr>
                <w:webHidden/>
              </w:rPr>
              <w:t>13</w:t>
            </w:r>
            <w:r w:rsidR="001C4C6E">
              <w:rPr>
                <w:webHidden/>
              </w:rPr>
              <w:fldChar w:fldCharType="end"/>
            </w:r>
          </w:hyperlink>
        </w:p>
        <w:p w14:paraId="3C03B7E5" w14:textId="79B17926" w:rsidR="001C4C6E" w:rsidRDefault="007441D5">
          <w:pPr>
            <w:pStyle w:val="TOC2"/>
            <w:tabs>
              <w:tab w:val="left" w:pos="880"/>
              <w:tab w:val="right" w:leader="dot" w:pos="9062"/>
            </w:tabs>
            <w:rPr>
              <w:rFonts w:eastAsiaTheme="minorEastAsia"/>
              <w:noProof/>
              <w:lang w:eastAsia="nl-NL"/>
            </w:rPr>
          </w:pPr>
          <w:hyperlink w:anchor="_Toc487589367" w:history="1">
            <w:r w:rsidR="001C4C6E" w:rsidRPr="00244643">
              <w:rPr>
                <w:rStyle w:val="Hyperlink"/>
                <w:noProof/>
              </w:rPr>
              <w:t>4.1</w:t>
            </w:r>
            <w:r w:rsidR="001C4C6E">
              <w:rPr>
                <w:rFonts w:eastAsiaTheme="minorEastAsia"/>
                <w:noProof/>
                <w:lang w:eastAsia="nl-NL"/>
              </w:rPr>
              <w:tab/>
            </w:r>
            <w:r w:rsidR="001C4C6E" w:rsidRPr="00244643">
              <w:rPr>
                <w:rStyle w:val="Hyperlink"/>
                <w:noProof/>
              </w:rPr>
              <w:t>Project Objective</w:t>
            </w:r>
            <w:r w:rsidR="001C4C6E">
              <w:rPr>
                <w:noProof/>
                <w:webHidden/>
              </w:rPr>
              <w:tab/>
            </w:r>
            <w:r w:rsidR="001C4C6E">
              <w:rPr>
                <w:noProof/>
                <w:webHidden/>
              </w:rPr>
              <w:fldChar w:fldCharType="begin"/>
            </w:r>
            <w:r w:rsidR="001C4C6E">
              <w:rPr>
                <w:noProof/>
                <w:webHidden/>
              </w:rPr>
              <w:instrText xml:space="preserve"> PAGEREF _Toc487589367 \h </w:instrText>
            </w:r>
            <w:r w:rsidR="001C4C6E">
              <w:rPr>
                <w:noProof/>
                <w:webHidden/>
              </w:rPr>
            </w:r>
            <w:r w:rsidR="001C4C6E">
              <w:rPr>
                <w:noProof/>
                <w:webHidden/>
              </w:rPr>
              <w:fldChar w:fldCharType="separate"/>
            </w:r>
            <w:r>
              <w:rPr>
                <w:noProof/>
                <w:webHidden/>
              </w:rPr>
              <w:t>14</w:t>
            </w:r>
            <w:r w:rsidR="001C4C6E">
              <w:rPr>
                <w:noProof/>
                <w:webHidden/>
              </w:rPr>
              <w:fldChar w:fldCharType="end"/>
            </w:r>
          </w:hyperlink>
        </w:p>
        <w:p w14:paraId="75B2AFB1" w14:textId="0FD9F619" w:rsidR="001C4C6E" w:rsidRDefault="007441D5">
          <w:pPr>
            <w:pStyle w:val="TOC2"/>
            <w:tabs>
              <w:tab w:val="left" w:pos="880"/>
              <w:tab w:val="right" w:leader="dot" w:pos="9062"/>
            </w:tabs>
            <w:rPr>
              <w:rFonts w:eastAsiaTheme="minorEastAsia"/>
              <w:noProof/>
              <w:lang w:eastAsia="nl-NL"/>
            </w:rPr>
          </w:pPr>
          <w:hyperlink w:anchor="_Toc487589368" w:history="1">
            <w:r w:rsidR="001C4C6E" w:rsidRPr="00244643">
              <w:rPr>
                <w:rStyle w:val="Hyperlink"/>
                <w:noProof/>
              </w:rPr>
              <w:t>4.2</w:t>
            </w:r>
            <w:r w:rsidR="001C4C6E">
              <w:rPr>
                <w:rFonts w:eastAsiaTheme="minorEastAsia"/>
                <w:noProof/>
                <w:lang w:eastAsia="nl-NL"/>
              </w:rPr>
              <w:tab/>
            </w:r>
            <w:r w:rsidR="001C4C6E" w:rsidRPr="00244643">
              <w:rPr>
                <w:rStyle w:val="Hyperlink"/>
                <w:noProof/>
              </w:rPr>
              <w:t>Project Activity and Goals</w:t>
            </w:r>
            <w:r w:rsidR="001C4C6E">
              <w:rPr>
                <w:noProof/>
                <w:webHidden/>
              </w:rPr>
              <w:tab/>
            </w:r>
            <w:r w:rsidR="001C4C6E">
              <w:rPr>
                <w:noProof/>
                <w:webHidden/>
              </w:rPr>
              <w:fldChar w:fldCharType="begin"/>
            </w:r>
            <w:r w:rsidR="001C4C6E">
              <w:rPr>
                <w:noProof/>
                <w:webHidden/>
              </w:rPr>
              <w:instrText xml:space="preserve"> PAGEREF _Toc487589368 \h </w:instrText>
            </w:r>
            <w:r w:rsidR="001C4C6E">
              <w:rPr>
                <w:noProof/>
                <w:webHidden/>
              </w:rPr>
            </w:r>
            <w:r w:rsidR="001C4C6E">
              <w:rPr>
                <w:noProof/>
                <w:webHidden/>
              </w:rPr>
              <w:fldChar w:fldCharType="separate"/>
            </w:r>
            <w:r>
              <w:rPr>
                <w:noProof/>
                <w:webHidden/>
              </w:rPr>
              <w:t>14</w:t>
            </w:r>
            <w:r w:rsidR="001C4C6E">
              <w:rPr>
                <w:noProof/>
                <w:webHidden/>
              </w:rPr>
              <w:fldChar w:fldCharType="end"/>
            </w:r>
          </w:hyperlink>
        </w:p>
        <w:p w14:paraId="630B21E5" w14:textId="46777EC1" w:rsidR="001C4C6E" w:rsidRDefault="007441D5">
          <w:pPr>
            <w:pStyle w:val="TOC1"/>
            <w:rPr>
              <w:rFonts w:asciiTheme="minorHAnsi" w:hAnsiTheme="minorHAnsi" w:cstheme="minorBidi"/>
              <w:szCs w:val="22"/>
              <w:lang w:val="nl-NL" w:eastAsia="nl-NL"/>
            </w:rPr>
          </w:pPr>
          <w:hyperlink w:anchor="_Toc487589369" w:history="1">
            <w:r w:rsidR="001C4C6E" w:rsidRPr="00244643">
              <w:rPr>
                <w:rStyle w:val="Hyperlink"/>
              </w:rPr>
              <w:t>5</w:t>
            </w:r>
            <w:r w:rsidR="001C4C6E">
              <w:rPr>
                <w:rFonts w:asciiTheme="minorHAnsi" w:hAnsiTheme="minorHAnsi" w:cstheme="minorBidi"/>
                <w:szCs w:val="22"/>
                <w:lang w:val="nl-NL" w:eastAsia="nl-NL"/>
              </w:rPr>
              <w:tab/>
            </w:r>
            <w:r w:rsidR="001C4C6E" w:rsidRPr="00244643">
              <w:rPr>
                <w:rStyle w:val="Hyperlink"/>
              </w:rPr>
              <w:t>Results and Partnerships</w:t>
            </w:r>
            <w:r w:rsidR="001C4C6E">
              <w:rPr>
                <w:webHidden/>
              </w:rPr>
              <w:tab/>
            </w:r>
            <w:r w:rsidR="001C4C6E">
              <w:rPr>
                <w:webHidden/>
              </w:rPr>
              <w:fldChar w:fldCharType="begin"/>
            </w:r>
            <w:r w:rsidR="001C4C6E">
              <w:rPr>
                <w:webHidden/>
              </w:rPr>
              <w:instrText xml:space="preserve"> PAGEREF _Toc487589369 \h </w:instrText>
            </w:r>
            <w:r w:rsidR="001C4C6E">
              <w:rPr>
                <w:webHidden/>
              </w:rPr>
            </w:r>
            <w:r w:rsidR="001C4C6E">
              <w:rPr>
                <w:webHidden/>
              </w:rPr>
              <w:fldChar w:fldCharType="separate"/>
            </w:r>
            <w:r>
              <w:rPr>
                <w:webHidden/>
              </w:rPr>
              <w:t>15</w:t>
            </w:r>
            <w:r w:rsidR="001C4C6E">
              <w:rPr>
                <w:webHidden/>
              </w:rPr>
              <w:fldChar w:fldCharType="end"/>
            </w:r>
          </w:hyperlink>
        </w:p>
        <w:p w14:paraId="3D202D20" w14:textId="37E75EAC" w:rsidR="001C4C6E" w:rsidRDefault="007441D5">
          <w:pPr>
            <w:pStyle w:val="TOC2"/>
            <w:tabs>
              <w:tab w:val="left" w:pos="880"/>
              <w:tab w:val="right" w:leader="dot" w:pos="9062"/>
            </w:tabs>
            <w:rPr>
              <w:rFonts w:eastAsiaTheme="minorEastAsia"/>
              <w:noProof/>
              <w:lang w:eastAsia="nl-NL"/>
            </w:rPr>
          </w:pPr>
          <w:hyperlink w:anchor="_Toc487589370" w:history="1">
            <w:r w:rsidR="001C4C6E" w:rsidRPr="00244643">
              <w:rPr>
                <w:rStyle w:val="Hyperlink"/>
                <w:noProof/>
              </w:rPr>
              <w:t>5.1</w:t>
            </w:r>
            <w:r w:rsidR="001C4C6E">
              <w:rPr>
                <w:rFonts w:eastAsiaTheme="minorEastAsia"/>
                <w:noProof/>
                <w:lang w:eastAsia="nl-NL"/>
              </w:rPr>
              <w:tab/>
            </w:r>
            <w:r w:rsidR="001C4C6E" w:rsidRPr="00244643">
              <w:rPr>
                <w:rStyle w:val="Hyperlink"/>
                <w:noProof/>
              </w:rPr>
              <w:t>Key Partners</w:t>
            </w:r>
            <w:r w:rsidR="001C4C6E">
              <w:rPr>
                <w:noProof/>
                <w:webHidden/>
              </w:rPr>
              <w:tab/>
            </w:r>
            <w:r w:rsidR="001C4C6E">
              <w:rPr>
                <w:noProof/>
                <w:webHidden/>
              </w:rPr>
              <w:fldChar w:fldCharType="begin"/>
            </w:r>
            <w:r w:rsidR="001C4C6E">
              <w:rPr>
                <w:noProof/>
                <w:webHidden/>
              </w:rPr>
              <w:instrText xml:space="preserve"> PAGEREF _Toc487589370 \h </w:instrText>
            </w:r>
            <w:r w:rsidR="001C4C6E">
              <w:rPr>
                <w:noProof/>
                <w:webHidden/>
              </w:rPr>
            </w:r>
            <w:r w:rsidR="001C4C6E">
              <w:rPr>
                <w:noProof/>
                <w:webHidden/>
              </w:rPr>
              <w:fldChar w:fldCharType="separate"/>
            </w:r>
            <w:r>
              <w:rPr>
                <w:noProof/>
                <w:webHidden/>
              </w:rPr>
              <w:t>19</w:t>
            </w:r>
            <w:r w:rsidR="001C4C6E">
              <w:rPr>
                <w:noProof/>
                <w:webHidden/>
              </w:rPr>
              <w:fldChar w:fldCharType="end"/>
            </w:r>
          </w:hyperlink>
        </w:p>
        <w:p w14:paraId="167003C9" w14:textId="07585936" w:rsidR="001C4C6E" w:rsidRDefault="007441D5">
          <w:pPr>
            <w:pStyle w:val="TOC1"/>
            <w:rPr>
              <w:rFonts w:asciiTheme="minorHAnsi" w:hAnsiTheme="minorHAnsi" w:cstheme="minorBidi"/>
              <w:szCs w:val="22"/>
              <w:lang w:val="nl-NL" w:eastAsia="nl-NL"/>
            </w:rPr>
          </w:pPr>
          <w:hyperlink w:anchor="_Toc487589371" w:history="1">
            <w:r w:rsidR="001C4C6E" w:rsidRPr="00244643">
              <w:rPr>
                <w:rStyle w:val="Hyperlink"/>
              </w:rPr>
              <w:t>6</w:t>
            </w:r>
            <w:r w:rsidR="001C4C6E">
              <w:rPr>
                <w:rFonts w:asciiTheme="minorHAnsi" w:hAnsiTheme="minorHAnsi" w:cstheme="minorBidi"/>
                <w:szCs w:val="22"/>
                <w:lang w:val="nl-NL" w:eastAsia="nl-NL"/>
              </w:rPr>
              <w:tab/>
            </w:r>
            <w:r w:rsidR="001C4C6E" w:rsidRPr="00244643">
              <w:rPr>
                <w:rStyle w:val="Hyperlink"/>
              </w:rPr>
              <w:t>Gender Dimensions</w:t>
            </w:r>
            <w:r w:rsidR="001C4C6E">
              <w:rPr>
                <w:webHidden/>
              </w:rPr>
              <w:tab/>
            </w:r>
            <w:r w:rsidR="001C4C6E">
              <w:rPr>
                <w:webHidden/>
              </w:rPr>
              <w:fldChar w:fldCharType="begin"/>
            </w:r>
            <w:r w:rsidR="001C4C6E">
              <w:rPr>
                <w:webHidden/>
              </w:rPr>
              <w:instrText xml:space="preserve"> PAGEREF _Toc487589371 \h </w:instrText>
            </w:r>
            <w:r w:rsidR="001C4C6E">
              <w:rPr>
                <w:webHidden/>
              </w:rPr>
            </w:r>
            <w:r w:rsidR="001C4C6E">
              <w:rPr>
                <w:webHidden/>
              </w:rPr>
              <w:fldChar w:fldCharType="separate"/>
            </w:r>
            <w:r>
              <w:rPr>
                <w:webHidden/>
              </w:rPr>
              <w:t>21</w:t>
            </w:r>
            <w:r w:rsidR="001C4C6E">
              <w:rPr>
                <w:webHidden/>
              </w:rPr>
              <w:fldChar w:fldCharType="end"/>
            </w:r>
          </w:hyperlink>
        </w:p>
        <w:p w14:paraId="624E03B8" w14:textId="6EE9B255" w:rsidR="001C4C6E" w:rsidRDefault="007441D5">
          <w:pPr>
            <w:pStyle w:val="TOC1"/>
            <w:rPr>
              <w:rFonts w:asciiTheme="minorHAnsi" w:hAnsiTheme="minorHAnsi" w:cstheme="minorBidi"/>
              <w:szCs w:val="22"/>
              <w:lang w:val="nl-NL" w:eastAsia="nl-NL"/>
            </w:rPr>
          </w:pPr>
          <w:hyperlink w:anchor="_Toc487589372" w:history="1">
            <w:r w:rsidR="001C4C6E" w:rsidRPr="00244643">
              <w:rPr>
                <w:rStyle w:val="Hyperlink"/>
              </w:rPr>
              <w:t>7</w:t>
            </w:r>
            <w:r w:rsidR="001C4C6E">
              <w:rPr>
                <w:rFonts w:asciiTheme="minorHAnsi" w:hAnsiTheme="minorHAnsi" w:cstheme="minorBidi"/>
                <w:szCs w:val="22"/>
                <w:lang w:val="nl-NL" w:eastAsia="nl-NL"/>
              </w:rPr>
              <w:tab/>
            </w:r>
            <w:r w:rsidR="001C4C6E" w:rsidRPr="00244643">
              <w:rPr>
                <w:rStyle w:val="Hyperlink"/>
              </w:rPr>
              <w:t>Feasibility</w:t>
            </w:r>
            <w:r w:rsidR="001C4C6E">
              <w:rPr>
                <w:webHidden/>
              </w:rPr>
              <w:tab/>
            </w:r>
            <w:r w:rsidR="001C4C6E">
              <w:rPr>
                <w:webHidden/>
              </w:rPr>
              <w:fldChar w:fldCharType="begin"/>
            </w:r>
            <w:r w:rsidR="001C4C6E">
              <w:rPr>
                <w:webHidden/>
              </w:rPr>
              <w:instrText xml:space="preserve"> PAGEREF _Toc487589372 \h </w:instrText>
            </w:r>
            <w:r w:rsidR="001C4C6E">
              <w:rPr>
                <w:webHidden/>
              </w:rPr>
            </w:r>
            <w:r w:rsidR="001C4C6E">
              <w:rPr>
                <w:webHidden/>
              </w:rPr>
              <w:fldChar w:fldCharType="separate"/>
            </w:r>
            <w:r>
              <w:rPr>
                <w:webHidden/>
              </w:rPr>
              <w:t>21</w:t>
            </w:r>
            <w:r w:rsidR="001C4C6E">
              <w:rPr>
                <w:webHidden/>
              </w:rPr>
              <w:fldChar w:fldCharType="end"/>
            </w:r>
          </w:hyperlink>
        </w:p>
        <w:p w14:paraId="65F1918B" w14:textId="3169E1DC" w:rsidR="001C4C6E" w:rsidRDefault="007441D5">
          <w:pPr>
            <w:pStyle w:val="TOC1"/>
            <w:rPr>
              <w:rFonts w:asciiTheme="minorHAnsi" w:hAnsiTheme="minorHAnsi" w:cstheme="minorBidi"/>
              <w:szCs w:val="22"/>
              <w:lang w:val="nl-NL" w:eastAsia="nl-NL"/>
            </w:rPr>
          </w:pPr>
          <w:hyperlink w:anchor="_Toc487589373" w:history="1">
            <w:r w:rsidR="001C4C6E" w:rsidRPr="00244643">
              <w:rPr>
                <w:rStyle w:val="Hyperlink"/>
              </w:rPr>
              <w:t>8</w:t>
            </w:r>
            <w:r w:rsidR="001C4C6E">
              <w:rPr>
                <w:rFonts w:asciiTheme="minorHAnsi" w:hAnsiTheme="minorHAnsi" w:cstheme="minorBidi"/>
                <w:szCs w:val="22"/>
                <w:lang w:val="nl-NL" w:eastAsia="nl-NL"/>
              </w:rPr>
              <w:tab/>
            </w:r>
            <w:r w:rsidR="001C4C6E" w:rsidRPr="00244643">
              <w:rPr>
                <w:rStyle w:val="Hyperlink"/>
              </w:rPr>
              <w:t>PROJECT RESULTS FRAMEWORK</w:t>
            </w:r>
            <w:r w:rsidR="001C4C6E">
              <w:rPr>
                <w:webHidden/>
              </w:rPr>
              <w:tab/>
            </w:r>
            <w:r w:rsidR="001C4C6E">
              <w:rPr>
                <w:webHidden/>
              </w:rPr>
              <w:fldChar w:fldCharType="begin"/>
            </w:r>
            <w:r w:rsidR="001C4C6E">
              <w:rPr>
                <w:webHidden/>
              </w:rPr>
              <w:instrText xml:space="preserve"> PAGEREF _Toc487589373 \h </w:instrText>
            </w:r>
            <w:r w:rsidR="001C4C6E">
              <w:rPr>
                <w:webHidden/>
              </w:rPr>
            </w:r>
            <w:r w:rsidR="001C4C6E">
              <w:rPr>
                <w:webHidden/>
              </w:rPr>
              <w:fldChar w:fldCharType="separate"/>
            </w:r>
            <w:r>
              <w:rPr>
                <w:webHidden/>
              </w:rPr>
              <w:t>24</w:t>
            </w:r>
            <w:r w:rsidR="001C4C6E">
              <w:rPr>
                <w:webHidden/>
              </w:rPr>
              <w:fldChar w:fldCharType="end"/>
            </w:r>
          </w:hyperlink>
        </w:p>
        <w:p w14:paraId="7F696A51" w14:textId="1C9551B7" w:rsidR="001C4C6E" w:rsidRDefault="007441D5">
          <w:pPr>
            <w:pStyle w:val="TOC1"/>
            <w:rPr>
              <w:rFonts w:asciiTheme="minorHAnsi" w:hAnsiTheme="minorHAnsi" w:cstheme="minorBidi"/>
              <w:szCs w:val="22"/>
              <w:lang w:val="nl-NL" w:eastAsia="nl-NL"/>
            </w:rPr>
          </w:pPr>
          <w:hyperlink w:anchor="_Toc487589374" w:history="1">
            <w:r w:rsidR="001C4C6E" w:rsidRPr="00244643">
              <w:rPr>
                <w:rStyle w:val="Hyperlink"/>
              </w:rPr>
              <w:t>9</w:t>
            </w:r>
            <w:r w:rsidR="001C4C6E">
              <w:rPr>
                <w:rFonts w:asciiTheme="minorHAnsi" w:hAnsiTheme="minorHAnsi" w:cstheme="minorBidi"/>
                <w:szCs w:val="22"/>
                <w:lang w:val="nl-NL" w:eastAsia="nl-NL"/>
              </w:rPr>
              <w:tab/>
            </w:r>
            <w:r w:rsidR="001C4C6E" w:rsidRPr="00244643">
              <w:rPr>
                <w:rStyle w:val="Hyperlink"/>
              </w:rPr>
              <w:t>Monitoring and Evaluation (M&amp;E) Plan</w:t>
            </w:r>
            <w:r w:rsidR="001C4C6E">
              <w:rPr>
                <w:webHidden/>
              </w:rPr>
              <w:tab/>
            </w:r>
            <w:r w:rsidR="001C4C6E">
              <w:rPr>
                <w:webHidden/>
              </w:rPr>
              <w:fldChar w:fldCharType="begin"/>
            </w:r>
            <w:r w:rsidR="001C4C6E">
              <w:rPr>
                <w:webHidden/>
              </w:rPr>
              <w:instrText xml:space="preserve"> PAGEREF _Toc487589374 \h </w:instrText>
            </w:r>
            <w:r w:rsidR="001C4C6E">
              <w:rPr>
                <w:webHidden/>
              </w:rPr>
            </w:r>
            <w:r w:rsidR="001C4C6E">
              <w:rPr>
                <w:webHidden/>
              </w:rPr>
              <w:fldChar w:fldCharType="separate"/>
            </w:r>
            <w:r>
              <w:rPr>
                <w:webHidden/>
              </w:rPr>
              <w:t>28</w:t>
            </w:r>
            <w:r w:rsidR="001C4C6E">
              <w:rPr>
                <w:webHidden/>
              </w:rPr>
              <w:fldChar w:fldCharType="end"/>
            </w:r>
          </w:hyperlink>
        </w:p>
        <w:p w14:paraId="0A20AA0D" w14:textId="0BFDB272" w:rsidR="001C4C6E" w:rsidRDefault="007441D5">
          <w:pPr>
            <w:pStyle w:val="TOC1"/>
            <w:rPr>
              <w:rFonts w:asciiTheme="minorHAnsi" w:hAnsiTheme="minorHAnsi" w:cstheme="minorBidi"/>
              <w:szCs w:val="22"/>
              <w:lang w:val="nl-NL" w:eastAsia="nl-NL"/>
            </w:rPr>
          </w:pPr>
          <w:hyperlink w:anchor="_Toc487589375" w:history="1">
            <w:r w:rsidR="001C4C6E" w:rsidRPr="00244643">
              <w:rPr>
                <w:rStyle w:val="Hyperlink"/>
              </w:rPr>
              <w:t>10</w:t>
            </w:r>
            <w:r w:rsidR="001C4C6E">
              <w:rPr>
                <w:rFonts w:asciiTheme="minorHAnsi" w:hAnsiTheme="minorHAnsi" w:cstheme="minorBidi"/>
                <w:szCs w:val="22"/>
                <w:lang w:val="nl-NL" w:eastAsia="nl-NL"/>
              </w:rPr>
              <w:tab/>
            </w:r>
            <w:r w:rsidR="001C4C6E" w:rsidRPr="00244643">
              <w:rPr>
                <w:rStyle w:val="Hyperlink"/>
              </w:rPr>
              <w:t>Governance and Management Arrangements</w:t>
            </w:r>
            <w:r w:rsidR="001C4C6E">
              <w:rPr>
                <w:webHidden/>
              </w:rPr>
              <w:tab/>
            </w:r>
            <w:r w:rsidR="001C4C6E">
              <w:rPr>
                <w:webHidden/>
              </w:rPr>
              <w:fldChar w:fldCharType="begin"/>
            </w:r>
            <w:r w:rsidR="001C4C6E">
              <w:rPr>
                <w:webHidden/>
              </w:rPr>
              <w:instrText xml:space="preserve"> PAGEREF _Toc487589375 \h </w:instrText>
            </w:r>
            <w:r w:rsidR="001C4C6E">
              <w:rPr>
                <w:webHidden/>
              </w:rPr>
            </w:r>
            <w:r w:rsidR="001C4C6E">
              <w:rPr>
                <w:webHidden/>
              </w:rPr>
              <w:fldChar w:fldCharType="separate"/>
            </w:r>
            <w:r>
              <w:rPr>
                <w:webHidden/>
              </w:rPr>
              <w:t>31</w:t>
            </w:r>
            <w:r w:rsidR="001C4C6E">
              <w:rPr>
                <w:webHidden/>
              </w:rPr>
              <w:fldChar w:fldCharType="end"/>
            </w:r>
          </w:hyperlink>
        </w:p>
        <w:p w14:paraId="22287BAF" w14:textId="646290F9" w:rsidR="001C4C6E" w:rsidRDefault="007441D5">
          <w:pPr>
            <w:pStyle w:val="TOC1"/>
            <w:rPr>
              <w:rFonts w:asciiTheme="minorHAnsi" w:hAnsiTheme="minorHAnsi" w:cstheme="minorBidi"/>
              <w:szCs w:val="22"/>
              <w:lang w:val="nl-NL" w:eastAsia="nl-NL"/>
            </w:rPr>
          </w:pPr>
          <w:hyperlink w:anchor="_Toc487589376" w:history="1">
            <w:r w:rsidR="001C4C6E" w:rsidRPr="00244643">
              <w:rPr>
                <w:rStyle w:val="Hyperlink"/>
              </w:rPr>
              <w:t>11</w:t>
            </w:r>
            <w:r w:rsidR="001C4C6E">
              <w:rPr>
                <w:rFonts w:asciiTheme="minorHAnsi" w:hAnsiTheme="minorHAnsi" w:cstheme="minorBidi"/>
                <w:szCs w:val="22"/>
                <w:lang w:val="nl-NL" w:eastAsia="nl-NL"/>
              </w:rPr>
              <w:tab/>
            </w:r>
            <w:r w:rsidR="001C4C6E" w:rsidRPr="00244643">
              <w:rPr>
                <w:rStyle w:val="Hyperlink"/>
              </w:rPr>
              <w:t>Financial Planning and Management</w:t>
            </w:r>
            <w:r w:rsidR="001C4C6E">
              <w:rPr>
                <w:webHidden/>
              </w:rPr>
              <w:tab/>
            </w:r>
            <w:r w:rsidR="001C4C6E">
              <w:rPr>
                <w:webHidden/>
              </w:rPr>
              <w:fldChar w:fldCharType="begin"/>
            </w:r>
            <w:r w:rsidR="001C4C6E">
              <w:rPr>
                <w:webHidden/>
              </w:rPr>
              <w:instrText xml:space="preserve"> PAGEREF _Toc487589376 \h </w:instrText>
            </w:r>
            <w:r w:rsidR="001C4C6E">
              <w:rPr>
                <w:webHidden/>
              </w:rPr>
            </w:r>
            <w:r w:rsidR="001C4C6E">
              <w:rPr>
                <w:webHidden/>
              </w:rPr>
              <w:fldChar w:fldCharType="separate"/>
            </w:r>
            <w:r>
              <w:rPr>
                <w:webHidden/>
              </w:rPr>
              <w:t>34</w:t>
            </w:r>
            <w:r w:rsidR="001C4C6E">
              <w:rPr>
                <w:webHidden/>
              </w:rPr>
              <w:fldChar w:fldCharType="end"/>
            </w:r>
          </w:hyperlink>
        </w:p>
        <w:p w14:paraId="061D9C94" w14:textId="783739A0" w:rsidR="001C4C6E" w:rsidRDefault="007441D5">
          <w:pPr>
            <w:pStyle w:val="TOC1"/>
            <w:rPr>
              <w:rFonts w:asciiTheme="minorHAnsi" w:hAnsiTheme="minorHAnsi" w:cstheme="minorBidi"/>
              <w:szCs w:val="22"/>
              <w:lang w:val="nl-NL" w:eastAsia="nl-NL"/>
            </w:rPr>
          </w:pPr>
          <w:hyperlink w:anchor="_Toc487589377" w:history="1">
            <w:r w:rsidR="001C4C6E" w:rsidRPr="00244643">
              <w:rPr>
                <w:rStyle w:val="Hyperlink"/>
              </w:rPr>
              <w:t>12</w:t>
            </w:r>
            <w:r w:rsidR="001C4C6E">
              <w:rPr>
                <w:rFonts w:asciiTheme="minorHAnsi" w:hAnsiTheme="minorHAnsi" w:cstheme="minorBidi"/>
                <w:szCs w:val="22"/>
                <w:lang w:val="nl-NL" w:eastAsia="nl-NL"/>
              </w:rPr>
              <w:tab/>
            </w:r>
            <w:r w:rsidR="001C4C6E" w:rsidRPr="00244643">
              <w:rPr>
                <w:rStyle w:val="Hyperlink"/>
              </w:rPr>
              <w:t>Legal Context</w:t>
            </w:r>
            <w:r w:rsidR="001C4C6E">
              <w:rPr>
                <w:webHidden/>
              </w:rPr>
              <w:tab/>
            </w:r>
            <w:r w:rsidR="001C4C6E">
              <w:rPr>
                <w:webHidden/>
              </w:rPr>
              <w:fldChar w:fldCharType="begin"/>
            </w:r>
            <w:r w:rsidR="001C4C6E">
              <w:rPr>
                <w:webHidden/>
              </w:rPr>
              <w:instrText xml:space="preserve"> PAGEREF _Toc487589377 \h </w:instrText>
            </w:r>
            <w:r w:rsidR="001C4C6E">
              <w:rPr>
                <w:webHidden/>
              </w:rPr>
            </w:r>
            <w:r w:rsidR="001C4C6E">
              <w:rPr>
                <w:webHidden/>
              </w:rPr>
              <w:fldChar w:fldCharType="separate"/>
            </w:r>
            <w:r>
              <w:rPr>
                <w:webHidden/>
              </w:rPr>
              <w:t>35</w:t>
            </w:r>
            <w:r w:rsidR="001C4C6E">
              <w:rPr>
                <w:webHidden/>
              </w:rPr>
              <w:fldChar w:fldCharType="end"/>
            </w:r>
          </w:hyperlink>
        </w:p>
        <w:p w14:paraId="390C8F7D" w14:textId="247996D0" w:rsidR="001C4C6E" w:rsidRDefault="007441D5">
          <w:pPr>
            <w:pStyle w:val="TOC1"/>
            <w:rPr>
              <w:rFonts w:asciiTheme="minorHAnsi" w:hAnsiTheme="minorHAnsi" w:cstheme="minorBidi"/>
              <w:szCs w:val="22"/>
              <w:lang w:val="nl-NL" w:eastAsia="nl-NL"/>
            </w:rPr>
          </w:pPr>
          <w:hyperlink w:anchor="_Toc487589378" w:history="1">
            <w:r w:rsidR="001C4C6E" w:rsidRPr="00244643">
              <w:rPr>
                <w:rStyle w:val="Hyperlink"/>
              </w:rPr>
              <w:t>13</w:t>
            </w:r>
            <w:r w:rsidR="001C4C6E">
              <w:rPr>
                <w:rFonts w:asciiTheme="minorHAnsi" w:hAnsiTheme="minorHAnsi" w:cstheme="minorBidi"/>
                <w:szCs w:val="22"/>
                <w:lang w:val="nl-NL" w:eastAsia="nl-NL"/>
              </w:rPr>
              <w:tab/>
            </w:r>
            <w:r w:rsidR="001C4C6E" w:rsidRPr="00244643">
              <w:rPr>
                <w:rStyle w:val="Hyperlink"/>
                <w:rFonts w:eastAsia="SimSun"/>
              </w:rPr>
              <w:t>Total Budget and Work Plan</w:t>
            </w:r>
            <w:r w:rsidR="001C4C6E">
              <w:rPr>
                <w:webHidden/>
              </w:rPr>
              <w:tab/>
            </w:r>
            <w:r w:rsidR="001C4C6E">
              <w:rPr>
                <w:webHidden/>
              </w:rPr>
              <w:fldChar w:fldCharType="begin"/>
            </w:r>
            <w:r w:rsidR="001C4C6E">
              <w:rPr>
                <w:webHidden/>
              </w:rPr>
              <w:instrText xml:space="preserve"> PAGEREF _Toc487589378 \h </w:instrText>
            </w:r>
            <w:r w:rsidR="001C4C6E">
              <w:rPr>
                <w:webHidden/>
              </w:rPr>
            </w:r>
            <w:r w:rsidR="001C4C6E">
              <w:rPr>
                <w:webHidden/>
              </w:rPr>
              <w:fldChar w:fldCharType="separate"/>
            </w:r>
            <w:r>
              <w:rPr>
                <w:webHidden/>
              </w:rPr>
              <w:t>37</w:t>
            </w:r>
            <w:r w:rsidR="001C4C6E">
              <w:rPr>
                <w:webHidden/>
              </w:rPr>
              <w:fldChar w:fldCharType="end"/>
            </w:r>
          </w:hyperlink>
        </w:p>
        <w:p w14:paraId="31E99151" w14:textId="51B6F2FD" w:rsidR="001C4C6E" w:rsidRDefault="007441D5">
          <w:pPr>
            <w:pStyle w:val="TOC1"/>
            <w:rPr>
              <w:rFonts w:asciiTheme="minorHAnsi" w:hAnsiTheme="minorHAnsi" w:cstheme="minorBidi"/>
              <w:szCs w:val="22"/>
              <w:lang w:val="nl-NL" w:eastAsia="nl-NL"/>
            </w:rPr>
          </w:pPr>
          <w:hyperlink w:anchor="_Toc487589379" w:history="1">
            <w:r w:rsidR="001C4C6E" w:rsidRPr="00244643">
              <w:rPr>
                <w:rStyle w:val="Hyperlink"/>
                <w:rFonts w:eastAsia="SimSun"/>
                <w:b/>
                <w:smallCaps/>
                <w:spacing w:val="-2"/>
              </w:rPr>
              <w:t>List of Mandatory Annexes</w:t>
            </w:r>
            <w:r w:rsidR="001C4C6E">
              <w:rPr>
                <w:webHidden/>
              </w:rPr>
              <w:tab/>
            </w:r>
            <w:r w:rsidR="001C4C6E">
              <w:rPr>
                <w:webHidden/>
              </w:rPr>
              <w:fldChar w:fldCharType="begin"/>
            </w:r>
            <w:r w:rsidR="001C4C6E">
              <w:rPr>
                <w:webHidden/>
              </w:rPr>
              <w:instrText xml:space="preserve"> PAGEREF _Toc487589379 \h </w:instrText>
            </w:r>
            <w:r w:rsidR="001C4C6E">
              <w:rPr>
                <w:webHidden/>
              </w:rPr>
            </w:r>
            <w:r w:rsidR="001C4C6E">
              <w:rPr>
                <w:webHidden/>
              </w:rPr>
              <w:fldChar w:fldCharType="separate"/>
            </w:r>
            <w:r>
              <w:rPr>
                <w:webHidden/>
              </w:rPr>
              <w:t>39</w:t>
            </w:r>
            <w:r w:rsidR="001C4C6E">
              <w:rPr>
                <w:webHidden/>
              </w:rPr>
              <w:fldChar w:fldCharType="end"/>
            </w:r>
          </w:hyperlink>
        </w:p>
        <w:p w14:paraId="3FC4A7B3" w14:textId="77777777" w:rsidR="00BB4B68" w:rsidRDefault="00BB4B68" w:rsidP="00BB4B68">
          <w:pPr>
            <w:spacing w:after="240"/>
          </w:pPr>
          <w:r w:rsidRPr="001F6E52">
            <w:rPr>
              <w:b/>
              <w:bCs/>
              <w:noProof/>
              <w:szCs w:val="20"/>
            </w:rPr>
            <w:fldChar w:fldCharType="end"/>
          </w:r>
        </w:p>
      </w:sdtContent>
    </w:sdt>
    <w:p w14:paraId="7662516B" w14:textId="77777777" w:rsidR="00BB4B68" w:rsidRDefault="00BB4B68" w:rsidP="00BB4B68">
      <w:pPr>
        <w:spacing w:after="0"/>
        <w:rPr>
          <w:rFonts w:cs="Arial"/>
          <w:b/>
          <w:szCs w:val="20"/>
        </w:rPr>
      </w:pPr>
      <w:r>
        <w:rPr>
          <w:rFonts w:cs="Arial"/>
          <w:b/>
          <w:szCs w:val="20"/>
        </w:rPr>
        <w:br w:type="page"/>
      </w:r>
    </w:p>
    <w:p w14:paraId="3CE4DD95" w14:textId="49DAF8FA" w:rsidR="00BB4B68" w:rsidRPr="00960D29" w:rsidRDefault="00BB4B68" w:rsidP="00BB4B68">
      <w:pPr>
        <w:spacing w:after="0"/>
        <w:rPr>
          <w:rFonts w:cs="Arial"/>
          <w:b/>
          <w:szCs w:val="20"/>
          <w:lang w:val="en-US"/>
        </w:rPr>
      </w:pPr>
      <w:r w:rsidRPr="00960D29">
        <w:rPr>
          <w:rFonts w:cs="Arial"/>
          <w:b/>
          <w:sz w:val="28"/>
          <w:szCs w:val="28"/>
          <w:lang w:val="en-US"/>
        </w:rPr>
        <w:lastRenderedPageBreak/>
        <w:t>List of Acronyms and Abbreviations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BB4B68" w:rsidRPr="00FE0216" w14:paraId="7377DB92" w14:textId="77777777" w:rsidTr="00364C06">
        <w:trPr>
          <w:trHeight w:val="288"/>
        </w:trPr>
        <w:tc>
          <w:tcPr>
            <w:tcW w:w="1560" w:type="dxa"/>
          </w:tcPr>
          <w:p w14:paraId="33157180" w14:textId="63B0A8A2" w:rsidR="00BB4B68" w:rsidRPr="004C454A" w:rsidRDefault="00BB4B68" w:rsidP="00FA7F6B">
            <w:pPr>
              <w:rPr>
                <w:szCs w:val="20"/>
              </w:rPr>
            </w:pPr>
          </w:p>
        </w:tc>
        <w:tc>
          <w:tcPr>
            <w:tcW w:w="7512" w:type="dxa"/>
          </w:tcPr>
          <w:p w14:paraId="58B00335" w14:textId="0B422AF1" w:rsidR="00BB4B68" w:rsidRPr="00BB4B68" w:rsidRDefault="00BB4B68" w:rsidP="00FA7F6B">
            <w:pPr>
              <w:ind w:left="116"/>
              <w:rPr>
                <w:szCs w:val="20"/>
                <w:lang w:val="en-US"/>
              </w:rPr>
            </w:pPr>
          </w:p>
        </w:tc>
      </w:tr>
      <w:tr w:rsidR="00487C00" w:rsidRPr="00FE0216" w14:paraId="01648242" w14:textId="77777777" w:rsidTr="00364C06">
        <w:trPr>
          <w:trHeight w:val="288"/>
        </w:trPr>
        <w:tc>
          <w:tcPr>
            <w:tcW w:w="1560" w:type="dxa"/>
          </w:tcPr>
          <w:p w14:paraId="3A7D34B3" w14:textId="6DEB672F" w:rsidR="00487C00" w:rsidRPr="004C454A" w:rsidRDefault="00487C00" w:rsidP="00FA7F6B">
            <w:pPr>
              <w:rPr>
                <w:szCs w:val="20"/>
              </w:rPr>
            </w:pPr>
            <w:r>
              <w:rPr>
                <w:szCs w:val="20"/>
              </w:rPr>
              <w:t>AGC</w:t>
            </w:r>
          </w:p>
        </w:tc>
        <w:tc>
          <w:tcPr>
            <w:tcW w:w="7512" w:type="dxa"/>
          </w:tcPr>
          <w:p w14:paraId="705B80AE" w14:textId="71096237" w:rsidR="00487C00" w:rsidRPr="00BB4B68" w:rsidRDefault="00487C00" w:rsidP="00FA7F6B">
            <w:pPr>
              <w:ind w:left="116"/>
              <w:rPr>
                <w:szCs w:val="20"/>
                <w:lang w:val="en-US"/>
              </w:rPr>
            </w:pPr>
            <w:r w:rsidRPr="00487C00">
              <w:rPr>
                <w:szCs w:val="20"/>
                <w:lang w:val="en-US"/>
              </w:rPr>
              <w:t>Artisanal Gold Council</w:t>
            </w:r>
          </w:p>
        </w:tc>
      </w:tr>
      <w:tr w:rsidR="00487C00" w:rsidRPr="00FE0216" w14:paraId="385A0029" w14:textId="77777777" w:rsidTr="00364C06">
        <w:trPr>
          <w:trHeight w:val="288"/>
        </w:trPr>
        <w:tc>
          <w:tcPr>
            <w:tcW w:w="1560" w:type="dxa"/>
          </w:tcPr>
          <w:p w14:paraId="44C3FC35" w14:textId="5559C872" w:rsidR="00487C00" w:rsidRPr="004C454A" w:rsidRDefault="00487C00" w:rsidP="00FA7F6B">
            <w:pPr>
              <w:rPr>
                <w:szCs w:val="20"/>
              </w:rPr>
            </w:pPr>
            <w:r>
              <w:rPr>
                <w:szCs w:val="20"/>
              </w:rPr>
              <w:t>ARM</w:t>
            </w:r>
          </w:p>
        </w:tc>
        <w:tc>
          <w:tcPr>
            <w:tcW w:w="7512" w:type="dxa"/>
          </w:tcPr>
          <w:p w14:paraId="2DAF4796" w14:textId="60508784" w:rsidR="00487C00" w:rsidRPr="00BB4B68" w:rsidRDefault="00487C00" w:rsidP="00FA7F6B">
            <w:pPr>
              <w:ind w:left="116"/>
              <w:rPr>
                <w:szCs w:val="20"/>
                <w:lang w:val="en-US"/>
              </w:rPr>
            </w:pPr>
            <w:r w:rsidRPr="00487C00">
              <w:rPr>
                <w:szCs w:val="20"/>
                <w:lang w:val="en-US"/>
              </w:rPr>
              <w:t>Alliance for Responsible Mining</w:t>
            </w:r>
          </w:p>
        </w:tc>
      </w:tr>
      <w:tr w:rsidR="004F2890" w:rsidRPr="00FE0216" w14:paraId="3FBD9E03" w14:textId="77777777" w:rsidTr="00364C06">
        <w:trPr>
          <w:trHeight w:val="288"/>
        </w:trPr>
        <w:tc>
          <w:tcPr>
            <w:tcW w:w="1560" w:type="dxa"/>
          </w:tcPr>
          <w:p w14:paraId="13D8E510" w14:textId="04AE7616" w:rsidR="004F2890" w:rsidRDefault="004F2890" w:rsidP="00FA7F6B">
            <w:pPr>
              <w:rPr>
                <w:szCs w:val="20"/>
              </w:rPr>
            </w:pPr>
            <w:r>
              <w:rPr>
                <w:szCs w:val="20"/>
              </w:rPr>
              <w:t>ASGM</w:t>
            </w:r>
          </w:p>
        </w:tc>
        <w:tc>
          <w:tcPr>
            <w:tcW w:w="7512" w:type="dxa"/>
          </w:tcPr>
          <w:p w14:paraId="02D8518F" w14:textId="059B0DD0" w:rsidR="004F2890" w:rsidRPr="00487C00" w:rsidRDefault="004F2890" w:rsidP="00FA7F6B">
            <w:pPr>
              <w:ind w:left="116"/>
              <w:rPr>
                <w:szCs w:val="20"/>
                <w:lang w:val="en-US"/>
              </w:rPr>
            </w:pPr>
            <w:r>
              <w:rPr>
                <w:szCs w:val="20"/>
                <w:lang w:val="en-US"/>
              </w:rPr>
              <w:t>Artisanal and Small Goldmining</w:t>
            </w:r>
          </w:p>
        </w:tc>
      </w:tr>
      <w:tr w:rsidR="004F2890" w:rsidRPr="00FE0216" w14:paraId="0D49F84A" w14:textId="77777777" w:rsidTr="00364C06">
        <w:trPr>
          <w:trHeight w:val="288"/>
        </w:trPr>
        <w:tc>
          <w:tcPr>
            <w:tcW w:w="1560" w:type="dxa"/>
          </w:tcPr>
          <w:p w14:paraId="67C9E3BF" w14:textId="2AAD8969" w:rsidR="004F2890" w:rsidRDefault="004F2890" w:rsidP="00FA7F6B">
            <w:pPr>
              <w:rPr>
                <w:szCs w:val="20"/>
              </w:rPr>
            </w:pPr>
            <w:r>
              <w:rPr>
                <w:szCs w:val="20"/>
              </w:rPr>
              <w:t>ASM</w:t>
            </w:r>
          </w:p>
        </w:tc>
        <w:tc>
          <w:tcPr>
            <w:tcW w:w="7512" w:type="dxa"/>
          </w:tcPr>
          <w:p w14:paraId="47331218" w14:textId="4D3E5509" w:rsidR="004F2890" w:rsidRPr="00487C00" w:rsidRDefault="004F2890" w:rsidP="00FA7F6B">
            <w:pPr>
              <w:ind w:left="116"/>
              <w:rPr>
                <w:szCs w:val="20"/>
                <w:lang w:val="en-US"/>
              </w:rPr>
            </w:pPr>
            <w:r>
              <w:rPr>
                <w:szCs w:val="20"/>
                <w:lang w:val="en-US"/>
              </w:rPr>
              <w:t xml:space="preserve">Artisanal and Small Mining </w:t>
            </w:r>
          </w:p>
        </w:tc>
      </w:tr>
      <w:tr w:rsidR="00487C00" w:rsidRPr="00EE3E21" w14:paraId="3CDD7751" w14:textId="77777777" w:rsidTr="00364C06">
        <w:trPr>
          <w:trHeight w:val="288"/>
        </w:trPr>
        <w:tc>
          <w:tcPr>
            <w:tcW w:w="1560" w:type="dxa"/>
          </w:tcPr>
          <w:p w14:paraId="19DE787E" w14:textId="17C093E2" w:rsidR="00487C00" w:rsidRPr="00EE3E21" w:rsidRDefault="00487C00" w:rsidP="00FA7F6B">
            <w:pPr>
              <w:rPr>
                <w:szCs w:val="20"/>
                <w:lang w:val="en-US"/>
              </w:rPr>
            </w:pPr>
            <w:r>
              <w:rPr>
                <w:szCs w:val="20"/>
                <w:lang w:val="en-US"/>
              </w:rPr>
              <w:t>BPPS</w:t>
            </w:r>
          </w:p>
        </w:tc>
        <w:tc>
          <w:tcPr>
            <w:tcW w:w="7512" w:type="dxa"/>
          </w:tcPr>
          <w:p w14:paraId="06C13366" w14:textId="51215D3A" w:rsidR="00487C00" w:rsidRPr="00BB4B68" w:rsidRDefault="00487C00" w:rsidP="00FA7F6B">
            <w:pPr>
              <w:ind w:left="116"/>
              <w:rPr>
                <w:szCs w:val="20"/>
                <w:lang w:val="en-US"/>
              </w:rPr>
            </w:pPr>
            <w:r w:rsidRPr="00487C00">
              <w:rPr>
                <w:szCs w:val="20"/>
                <w:lang w:val="en-US"/>
              </w:rPr>
              <w:t>Bureau for Policy and Programme Support</w:t>
            </w:r>
          </w:p>
        </w:tc>
      </w:tr>
      <w:tr w:rsidR="00BB4B68" w:rsidRPr="004C454A" w14:paraId="1B03044D" w14:textId="77777777" w:rsidTr="00364C06">
        <w:trPr>
          <w:trHeight w:val="288"/>
        </w:trPr>
        <w:tc>
          <w:tcPr>
            <w:tcW w:w="1560" w:type="dxa"/>
          </w:tcPr>
          <w:p w14:paraId="582F6FA4" w14:textId="77777777" w:rsidR="00BB4B68" w:rsidRPr="004C454A" w:rsidRDefault="00BB4B68" w:rsidP="00FA7F6B">
            <w:pPr>
              <w:rPr>
                <w:szCs w:val="20"/>
              </w:rPr>
            </w:pPr>
            <w:r w:rsidRPr="004C454A">
              <w:rPr>
                <w:szCs w:val="20"/>
              </w:rPr>
              <w:t>CBA</w:t>
            </w:r>
          </w:p>
        </w:tc>
        <w:tc>
          <w:tcPr>
            <w:tcW w:w="7512" w:type="dxa"/>
          </w:tcPr>
          <w:p w14:paraId="2EDACD4E" w14:textId="77777777" w:rsidR="00BB4B68" w:rsidRPr="004C454A" w:rsidRDefault="00BB4B68" w:rsidP="00FA7F6B">
            <w:pPr>
              <w:ind w:left="116"/>
              <w:rPr>
                <w:szCs w:val="20"/>
              </w:rPr>
            </w:pPr>
            <w:r w:rsidRPr="004C454A">
              <w:rPr>
                <w:szCs w:val="20"/>
              </w:rPr>
              <w:t>Community-based Adaptation</w:t>
            </w:r>
          </w:p>
        </w:tc>
      </w:tr>
      <w:tr w:rsidR="00BB4B68" w:rsidRPr="004C454A" w14:paraId="23472686" w14:textId="77777777" w:rsidTr="00364C06">
        <w:trPr>
          <w:trHeight w:val="288"/>
        </w:trPr>
        <w:tc>
          <w:tcPr>
            <w:tcW w:w="1560" w:type="dxa"/>
          </w:tcPr>
          <w:p w14:paraId="5DC8C514" w14:textId="77777777" w:rsidR="00BB4B68" w:rsidRPr="004C454A" w:rsidRDefault="00BB4B68" w:rsidP="00FA7F6B">
            <w:pPr>
              <w:rPr>
                <w:szCs w:val="20"/>
              </w:rPr>
            </w:pPr>
            <w:r w:rsidRPr="004C454A">
              <w:rPr>
                <w:szCs w:val="20"/>
              </w:rPr>
              <w:t>CBD</w:t>
            </w:r>
          </w:p>
        </w:tc>
        <w:tc>
          <w:tcPr>
            <w:tcW w:w="7512" w:type="dxa"/>
          </w:tcPr>
          <w:p w14:paraId="7A3D7890" w14:textId="77777777" w:rsidR="00BB4B68" w:rsidRPr="004C454A" w:rsidRDefault="00BB4B68" w:rsidP="00FA7F6B">
            <w:pPr>
              <w:ind w:left="116"/>
              <w:rPr>
                <w:szCs w:val="20"/>
              </w:rPr>
            </w:pPr>
            <w:r w:rsidRPr="004C454A">
              <w:rPr>
                <w:szCs w:val="20"/>
              </w:rPr>
              <w:t>Convention on Biological Diversity</w:t>
            </w:r>
          </w:p>
        </w:tc>
      </w:tr>
      <w:tr w:rsidR="005104D0" w:rsidRPr="004C454A" w14:paraId="599D84D1" w14:textId="77777777" w:rsidTr="00364C06">
        <w:trPr>
          <w:trHeight w:val="288"/>
        </w:trPr>
        <w:tc>
          <w:tcPr>
            <w:tcW w:w="1560" w:type="dxa"/>
          </w:tcPr>
          <w:p w14:paraId="66EB8D5D" w14:textId="5037CCD3" w:rsidR="005104D0" w:rsidRPr="004C454A" w:rsidRDefault="005104D0" w:rsidP="00FA7F6B">
            <w:pPr>
              <w:rPr>
                <w:szCs w:val="20"/>
              </w:rPr>
            </w:pPr>
            <w:r>
              <w:rPr>
                <w:szCs w:val="20"/>
              </w:rPr>
              <w:t>CI-Suriname</w:t>
            </w:r>
          </w:p>
        </w:tc>
        <w:tc>
          <w:tcPr>
            <w:tcW w:w="7512" w:type="dxa"/>
          </w:tcPr>
          <w:p w14:paraId="759B15BA" w14:textId="5C3DF6F4" w:rsidR="005104D0" w:rsidRPr="004C454A" w:rsidRDefault="005104D0" w:rsidP="00FA7F6B">
            <w:pPr>
              <w:ind w:left="116"/>
              <w:rPr>
                <w:szCs w:val="20"/>
              </w:rPr>
            </w:pPr>
            <w:r w:rsidRPr="005104D0">
              <w:rPr>
                <w:szCs w:val="20"/>
              </w:rPr>
              <w:t>Conservation International Suriname</w:t>
            </w:r>
          </w:p>
        </w:tc>
      </w:tr>
      <w:tr w:rsidR="00BB4B68" w:rsidRPr="004C454A" w14:paraId="689193FF" w14:textId="77777777" w:rsidTr="00364C06">
        <w:trPr>
          <w:trHeight w:val="288"/>
        </w:trPr>
        <w:tc>
          <w:tcPr>
            <w:tcW w:w="1560" w:type="dxa"/>
          </w:tcPr>
          <w:p w14:paraId="7B9DA00B" w14:textId="77777777" w:rsidR="00BB4B68" w:rsidRPr="004C454A" w:rsidRDefault="00BB4B68" w:rsidP="00FA7F6B">
            <w:pPr>
              <w:rPr>
                <w:szCs w:val="20"/>
              </w:rPr>
            </w:pPr>
            <w:r w:rsidRPr="004C454A">
              <w:rPr>
                <w:szCs w:val="20"/>
              </w:rPr>
              <w:t>CO</w:t>
            </w:r>
          </w:p>
        </w:tc>
        <w:tc>
          <w:tcPr>
            <w:tcW w:w="7512" w:type="dxa"/>
          </w:tcPr>
          <w:p w14:paraId="6911BD21" w14:textId="77777777" w:rsidR="00BB4B68" w:rsidRPr="004C454A" w:rsidRDefault="00BB4B68" w:rsidP="00FA7F6B">
            <w:pPr>
              <w:ind w:left="116"/>
              <w:rPr>
                <w:szCs w:val="20"/>
              </w:rPr>
            </w:pPr>
            <w:r w:rsidRPr="004C454A">
              <w:rPr>
                <w:szCs w:val="20"/>
              </w:rPr>
              <w:t>Country Office</w:t>
            </w:r>
          </w:p>
        </w:tc>
      </w:tr>
      <w:tr w:rsidR="00F14D5C" w:rsidRPr="00EE3E21" w14:paraId="7E00564E" w14:textId="77777777" w:rsidTr="005104D0">
        <w:trPr>
          <w:trHeight w:val="288"/>
        </w:trPr>
        <w:tc>
          <w:tcPr>
            <w:tcW w:w="1560" w:type="dxa"/>
          </w:tcPr>
          <w:p w14:paraId="144657C4" w14:textId="130AC512" w:rsidR="00F14D5C" w:rsidRPr="004C454A" w:rsidRDefault="00F14D5C" w:rsidP="00FA7F6B">
            <w:pPr>
              <w:rPr>
                <w:szCs w:val="20"/>
              </w:rPr>
            </w:pPr>
            <w:r>
              <w:rPr>
                <w:szCs w:val="20"/>
              </w:rPr>
              <w:t>ESIA</w:t>
            </w:r>
          </w:p>
        </w:tc>
        <w:tc>
          <w:tcPr>
            <w:tcW w:w="7512" w:type="dxa"/>
          </w:tcPr>
          <w:p w14:paraId="69A1C49B" w14:textId="3BCA2089" w:rsidR="00F14D5C" w:rsidRPr="00364C06" w:rsidRDefault="00F14D5C" w:rsidP="00F14D5C">
            <w:pPr>
              <w:ind w:left="116"/>
              <w:rPr>
                <w:szCs w:val="20"/>
                <w:lang w:val="en-US"/>
              </w:rPr>
            </w:pPr>
            <w:r w:rsidRPr="00F14D5C">
              <w:rPr>
                <w:szCs w:val="20"/>
                <w:lang w:val="en-US"/>
              </w:rPr>
              <w:t>Environmental and Social Impact A</w:t>
            </w:r>
            <w:r w:rsidRPr="00364C06">
              <w:rPr>
                <w:szCs w:val="20"/>
                <w:lang w:val="en-US"/>
              </w:rPr>
              <w:t>ssessments</w:t>
            </w:r>
          </w:p>
        </w:tc>
      </w:tr>
      <w:tr w:rsidR="00BB4B68" w:rsidRPr="004C454A" w14:paraId="1B087818" w14:textId="77777777" w:rsidTr="00364C06">
        <w:trPr>
          <w:trHeight w:val="288"/>
        </w:trPr>
        <w:tc>
          <w:tcPr>
            <w:tcW w:w="1560" w:type="dxa"/>
          </w:tcPr>
          <w:p w14:paraId="33E784E4" w14:textId="77777777" w:rsidR="00BB4B68" w:rsidRPr="004C454A" w:rsidRDefault="00BB4B68" w:rsidP="00FA7F6B">
            <w:pPr>
              <w:rPr>
                <w:szCs w:val="20"/>
              </w:rPr>
            </w:pPr>
            <w:r w:rsidRPr="004C454A">
              <w:rPr>
                <w:szCs w:val="20"/>
              </w:rPr>
              <w:t>FSP</w:t>
            </w:r>
          </w:p>
        </w:tc>
        <w:tc>
          <w:tcPr>
            <w:tcW w:w="7512" w:type="dxa"/>
          </w:tcPr>
          <w:p w14:paraId="53E1DDD8" w14:textId="77777777" w:rsidR="00BB4B68" w:rsidRPr="004C454A" w:rsidRDefault="00BB4B68" w:rsidP="00FA7F6B">
            <w:pPr>
              <w:ind w:left="116"/>
              <w:rPr>
                <w:szCs w:val="20"/>
              </w:rPr>
            </w:pPr>
            <w:r w:rsidRPr="004C454A">
              <w:rPr>
                <w:szCs w:val="20"/>
              </w:rPr>
              <w:t>Full Sized Project</w:t>
            </w:r>
          </w:p>
        </w:tc>
      </w:tr>
      <w:tr w:rsidR="00BB4B68" w:rsidRPr="004C454A" w14:paraId="34CFF134" w14:textId="77777777" w:rsidTr="00364C06">
        <w:trPr>
          <w:trHeight w:val="288"/>
        </w:trPr>
        <w:tc>
          <w:tcPr>
            <w:tcW w:w="1560" w:type="dxa"/>
          </w:tcPr>
          <w:p w14:paraId="2EF3F548" w14:textId="77777777" w:rsidR="00BB4B68" w:rsidRPr="004C454A" w:rsidRDefault="00BB4B68" w:rsidP="00FA7F6B">
            <w:pPr>
              <w:rPr>
                <w:szCs w:val="20"/>
              </w:rPr>
            </w:pPr>
            <w:r w:rsidRPr="004C454A">
              <w:rPr>
                <w:szCs w:val="20"/>
              </w:rPr>
              <w:t>GEF</w:t>
            </w:r>
          </w:p>
        </w:tc>
        <w:tc>
          <w:tcPr>
            <w:tcW w:w="7512" w:type="dxa"/>
          </w:tcPr>
          <w:p w14:paraId="60158659" w14:textId="77777777" w:rsidR="00BB4B68" w:rsidRPr="004C454A" w:rsidRDefault="00BB4B68" w:rsidP="00FA7F6B">
            <w:pPr>
              <w:ind w:left="116"/>
              <w:rPr>
                <w:szCs w:val="20"/>
              </w:rPr>
            </w:pPr>
            <w:r w:rsidRPr="004C454A">
              <w:rPr>
                <w:szCs w:val="20"/>
              </w:rPr>
              <w:t>Global Environment Facility</w:t>
            </w:r>
          </w:p>
        </w:tc>
      </w:tr>
      <w:tr w:rsidR="00BB4B68" w:rsidRPr="004C454A" w14:paraId="37CA85F7" w14:textId="77777777" w:rsidTr="00364C06">
        <w:trPr>
          <w:trHeight w:val="288"/>
        </w:trPr>
        <w:tc>
          <w:tcPr>
            <w:tcW w:w="1560" w:type="dxa"/>
          </w:tcPr>
          <w:p w14:paraId="28652ECF" w14:textId="77777777" w:rsidR="00BB4B68" w:rsidRPr="004C454A" w:rsidRDefault="00BB4B68" w:rsidP="00FA7F6B">
            <w:pPr>
              <w:rPr>
                <w:szCs w:val="20"/>
              </w:rPr>
            </w:pPr>
            <w:r w:rsidRPr="004C454A">
              <w:rPr>
                <w:szCs w:val="20"/>
              </w:rPr>
              <w:t>GEFSEC</w:t>
            </w:r>
          </w:p>
        </w:tc>
        <w:tc>
          <w:tcPr>
            <w:tcW w:w="7512" w:type="dxa"/>
          </w:tcPr>
          <w:p w14:paraId="4CC189A6" w14:textId="77777777" w:rsidR="00BB4B68" w:rsidRPr="004C454A" w:rsidRDefault="00BB4B68" w:rsidP="00FA7F6B">
            <w:pPr>
              <w:ind w:left="116"/>
              <w:rPr>
                <w:szCs w:val="20"/>
              </w:rPr>
            </w:pPr>
            <w:r w:rsidRPr="004C454A">
              <w:rPr>
                <w:szCs w:val="20"/>
              </w:rPr>
              <w:t>Global Environment Facility Secretariat</w:t>
            </w:r>
          </w:p>
        </w:tc>
      </w:tr>
      <w:tr w:rsidR="00BB4B68" w:rsidRPr="00EE3E21" w14:paraId="541621C6" w14:textId="77777777" w:rsidTr="00364C06">
        <w:trPr>
          <w:trHeight w:val="288"/>
        </w:trPr>
        <w:tc>
          <w:tcPr>
            <w:tcW w:w="1560" w:type="dxa"/>
          </w:tcPr>
          <w:p w14:paraId="6F821458" w14:textId="77777777" w:rsidR="00BB4B68" w:rsidRPr="004C454A" w:rsidRDefault="00BB4B68" w:rsidP="00FA7F6B">
            <w:pPr>
              <w:rPr>
                <w:szCs w:val="20"/>
              </w:rPr>
            </w:pPr>
            <w:r>
              <w:rPr>
                <w:szCs w:val="20"/>
              </w:rPr>
              <w:t>NIMOS</w:t>
            </w:r>
          </w:p>
        </w:tc>
        <w:tc>
          <w:tcPr>
            <w:tcW w:w="7512" w:type="dxa"/>
          </w:tcPr>
          <w:p w14:paraId="6C5355F9" w14:textId="77777777" w:rsidR="00BB4B68" w:rsidRPr="00BB4B68" w:rsidRDefault="00BB4B68" w:rsidP="00FA7F6B">
            <w:pPr>
              <w:ind w:left="116"/>
              <w:rPr>
                <w:szCs w:val="20"/>
                <w:lang w:val="en-US"/>
              </w:rPr>
            </w:pPr>
            <w:r w:rsidRPr="00BB4B68">
              <w:rPr>
                <w:szCs w:val="20"/>
                <w:lang w:val="en-US"/>
              </w:rPr>
              <w:t>National Institute for Environment and Development</w:t>
            </w:r>
          </w:p>
        </w:tc>
      </w:tr>
      <w:tr w:rsidR="005104D0" w:rsidRPr="005104D0" w14:paraId="36CBA5C6" w14:textId="77777777" w:rsidTr="00364C06">
        <w:trPr>
          <w:trHeight w:val="288"/>
        </w:trPr>
        <w:tc>
          <w:tcPr>
            <w:tcW w:w="1560" w:type="dxa"/>
          </w:tcPr>
          <w:p w14:paraId="5E70468A" w14:textId="51D213EA" w:rsidR="005104D0" w:rsidRDefault="005104D0" w:rsidP="005104D0">
            <w:pPr>
              <w:rPr>
                <w:szCs w:val="20"/>
              </w:rPr>
            </w:pPr>
            <w:r w:rsidRPr="005104D0">
              <w:rPr>
                <w:szCs w:val="20"/>
              </w:rPr>
              <w:t>MFP</w:t>
            </w:r>
          </w:p>
        </w:tc>
        <w:tc>
          <w:tcPr>
            <w:tcW w:w="7512" w:type="dxa"/>
          </w:tcPr>
          <w:p w14:paraId="144F06FC" w14:textId="35C11DAD" w:rsidR="005104D0" w:rsidRPr="00BB4B68" w:rsidRDefault="005104D0" w:rsidP="00FA7F6B">
            <w:pPr>
              <w:ind w:left="116"/>
              <w:rPr>
                <w:szCs w:val="20"/>
                <w:lang w:val="en-US"/>
              </w:rPr>
            </w:pPr>
            <w:r w:rsidRPr="005104D0">
              <w:rPr>
                <w:szCs w:val="20"/>
                <w:lang w:val="en-US"/>
              </w:rPr>
              <w:t>Mercury Free Partnership</w:t>
            </w:r>
          </w:p>
        </w:tc>
      </w:tr>
      <w:tr w:rsidR="005104D0" w:rsidRPr="005104D0" w14:paraId="1E06D135" w14:textId="77777777" w:rsidTr="00364C06">
        <w:trPr>
          <w:trHeight w:val="288"/>
        </w:trPr>
        <w:tc>
          <w:tcPr>
            <w:tcW w:w="1560" w:type="dxa"/>
          </w:tcPr>
          <w:p w14:paraId="650E76D2" w14:textId="3DA3678F" w:rsidR="005104D0" w:rsidRDefault="005104D0" w:rsidP="00FA7F6B">
            <w:pPr>
              <w:rPr>
                <w:szCs w:val="20"/>
              </w:rPr>
            </w:pPr>
            <w:r>
              <w:rPr>
                <w:szCs w:val="20"/>
              </w:rPr>
              <w:t>MSC</w:t>
            </w:r>
          </w:p>
        </w:tc>
        <w:tc>
          <w:tcPr>
            <w:tcW w:w="7512" w:type="dxa"/>
          </w:tcPr>
          <w:p w14:paraId="76F1318C" w14:textId="55638202" w:rsidR="005104D0" w:rsidRPr="00BB4B68" w:rsidRDefault="005104D0" w:rsidP="005104D0">
            <w:pPr>
              <w:ind w:left="116"/>
              <w:rPr>
                <w:szCs w:val="20"/>
                <w:lang w:val="en-US"/>
              </w:rPr>
            </w:pPr>
            <w:r w:rsidRPr="005104D0">
              <w:rPr>
                <w:szCs w:val="20"/>
                <w:lang w:val="en-US"/>
              </w:rPr>
              <w:t>Mining Service Center</w:t>
            </w:r>
          </w:p>
        </w:tc>
      </w:tr>
      <w:tr w:rsidR="00BB4B68" w:rsidRPr="004C454A" w14:paraId="5EC73AF4" w14:textId="77777777" w:rsidTr="00364C06">
        <w:trPr>
          <w:trHeight w:val="288"/>
        </w:trPr>
        <w:tc>
          <w:tcPr>
            <w:tcW w:w="1560" w:type="dxa"/>
            <w:tcBorders>
              <w:bottom w:val="nil"/>
            </w:tcBorders>
          </w:tcPr>
          <w:p w14:paraId="701A8D8E" w14:textId="77777777" w:rsidR="00BB4B68" w:rsidRPr="004C454A" w:rsidRDefault="00BB4B68" w:rsidP="00FA7F6B">
            <w:pPr>
              <w:rPr>
                <w:szCs w:val="20"/>
              </w:rPr>
            </w:pPr>
            <w:r w:rsidRPr="004C454A">
              <w:rPr>
                <w:szCs w:val="20"/>
              </w:rPr>
              <w:t>MSP</w:t>
            </w:r>
          </w:p>
        </w:tc>
        <w:tc>
          <w:tcPr>
            <w:tcW w:w="7512" w:type="dxa"/>
            <w:tcBorders>
              <w:bottom w:val="nil"/>
            </w:tcBorders>
          </w:tcPr>
          <w:p w14:paraId="45B57E9E" w14:textId="77777777" w:rsidR="00BB4B68" w:rsidRPr="004C454A" w:rsidRDefault="00BB4B68" w:rsidP="00FA7F6B">
            <w:pPr>
              <w:ind w:left="116"/>
              <w:rPr>
                <w:szCs w:val="20"/>
              </w:rPr>
            </w:pPr>
            <w:r w:rsidRPr="004C454A">
              <w:rPr>
                <w:szCs w:val="20"/>
              </w:rPr>
              <w:t>Medium Sized Project</w:t>
            </w:r>
          </w:p>
        </w:tc>
      </w:tr>
      <w:tr w:rsidR="009B361D" w:rsidRPr="004C454A" w14:paraId="45BF062C" w14:textId="77777777" w:rsidTr="005104D0">
        <w:trPr>
          <w:trHeight w:val="288"/>
        </w:trPr>
        <w:tc>
          <w:tcPr>
            <w:tcW w:w="1560" w:type="dxa"/>
            <w:tcBorders>
              <w:bottom w:val="nil"/>
            </w:tcBorders>
          </w:tcPr>
          <w:p w14:paraId="0DEACD79" w14:textId="4C5CA8BD" w:rsidR="009B361D" w:rsidRPr="004C454A" w:rsidRDefault="009B361D" w:rsidP="00FA7F6B">
            <w:pPr>
              <w:rPr>
                <w:szCs w:val="20"/>
              </w:rPr>
            </w:pPr>
            <w:r>
              <w:rPr>
                <w:szCs w:val="20"/>
              </w:rPr>
              <w:t>NH</w:t>
            </w:r>
          </w:p>
        </w:tc>
        <w:tc>
          <w:tcPr>
            <w:tcW w:w="7512" w:type="dxa"/>
            <w:tcBorders>
              <w:bottom w:val="nil"/>
            </w:tcBorders>
          </w:tcPr>
          <w:p w14:paraId="03D96331" w14:textId="19C243F0" w:rsidR="009B361D" w:rsidRPr="004C454A" w:rsidRDefault="009B361D" w:rsidP="00FA7F6B">
            <w:pPr>
              <w:ind w:left="116"/>
              <w:rPr>
                <w:szCs w:val="20"/>
              </w:rPr>
            </w:pPr>
            <w:r>
              <w:rPr>
                <w:szCs w:val="20"/>
              </w:rPr>
              <w:t>Natural Resources (Ministry)</w:t>
            </w:r>
          </w:p>
        </w:tc>
      </w:tr>
      <w:tr w:rsidR="00BB4B68" w:rsidRPr="004C454A" w14:paraId="44F3F451" w14:textId="77777777" w:rsidTr="00364C06">
        <w:trPr>
          <w:trHeight w:val="288"/>
        </w:trPr>
        <w:tc>
          <w:tcPr>
            <w:tcW w:w="1560" w:type="dxa"/>
            <w:tcBorders>
              <w:bottom w:val="nil"/>
            </w:tcBorders>
          </w:tcPr>
          <w:p w14:paraId="1C2D8E64" w14:textId="77777777" w:rsidR="00BB4B68" w:rsidRPr="004C454A" w:rsidRDefault="00BB4B68" w:rsidP="00FA7F6B">
            <w:pPr>
              <w:rPr>
                <w:szCs w:val="20"/>
              </w:rPr>
            </w:pPr>
            <w:r w:rsidRPr="004C454A">
              <w:rPr>
                <w:szCs w:val="20"/>
              </w:rPr>
              <w:t>PAC</w:t>
            </w:r>
          </w:p>
        </w:tc>
        <w:tc>
          <w:tcPr>
            <w:tcW w:w="7512" w:type="dxa"/>
            <w:tcBorders>
              <w:bottom w:val="nil"/>
            </w:tcBorders>
          </w:tcPr>
          <w:p w14:paraId="1ABC4D73" w14:textId="77777777" w:rsidR="00BB4B68" w:rsidRPr="004C454A" w:rsidRDefault="00BB4B68" w:rsidP="00FA7F6B">
            <w:pPr>
              <w:ind w:left="116"/>
              <w:rPr>
                <w:szCs w:val="20"/>
              </w:rPr>
            </w:pPr>
            <w:r w:rsidRPr="004C454A">
              <w:rPr>
                <w:szCs w:val="20"/>
              </w:rPr>
              <w:t>Project Appraisal Committee</w:t>
            </w:r>
          </w:p>
        </w:tc>
      </w:tr>
      <w:tr w:rsidR="00BB4B68" w:rsidRPr="004C454A" w14:paraId="48F4FD84" w14:textId="77777777" w:rsidTr="00364C06">
        <w:trPr>
          <w:trHeight w:val="288"/>
        </w:trPr>
        <w:tc>
          <w:tcPr>
            <w:tcW w:w="1560" w:type="dxa"/>
            <w:tcBorders>
              <w:bottom w:val="nil"/>
            </w:tcBorders>
          </w:tcPr>
          <w:p w14:paraId="5DF0A276" w14:textId="77777777" w:rsidR="00BB4B68" w:rsidRPr="004C454A" w:rsidRDefault="00BB4B68" w:rsidP="00FA7F6B">
            <w:pPr>
              <w:rPr>
                <w:szCs w:val="20"/>
              </w:rPr>
            </w:pPr>
            <w:r w:rsidRPr="004C454A">
              <w:rPr>
                <w:szCs w:val="20"/>
              </w:rPr>
              <w:t>PIF</w:t>
            </w:r>
          </w:p>
        </w:tc>
        <w:tc>
          <w:tcPr>
            <w:tcW w:w="7512" w:type="dxa"/>
            <w:tcBorders>
              <w:bottom w:val="nil"/>
            </w:tcBorders>
          </w:tcPr>
          <w:p w14:paraId="73957D4E" w14:textId="77777777" w:rsidR="00BB4B68" w:rsidRPr="004C454A" w:rsidRDefault="00BB4B68" w:rsidP="00FA7F6B">
            <w:pPr>
              <w:ind w:left="116"/>
              <w:rPr>
                <w:szCs w:val="20"/>
              </w:rPr>
            </w:pPr>
            <w:r w:rsidRPr="004C454A">
              <w:rPr>
                <w:szCs w:val="20"/>
              </w:rPr>
              <w:t>Project Identification Form</w:t>
            </w:r>
          </w:p>
        </w:tc>
      </w:tr>
      <w:tr w:rsidR="00BB4B68" w:rsidRPr="004C454A" w14:paraId="6071C95A" w14:textId="77777777" w:rsidTr="00364C06">
        <w:trPr>
          <w:trHeight w:val="288"/>
        </w:trPr>
        <w:tc>
          <w:tcPr>
            <w:tcW w:w="1560" w:type="dxa"/>
            <w:tcBorders>
              <w:bottom w:val="nil"/>
            </w:tcBorders>
          </w:tcPr>
          <w:p w14:paraId="79AE853F" w14:textId="77777777" w:rsidR="00BB4B68" w:rsidRPr="004C454A" w:rsidRDefault="00BB4B68" w:rsidP="00FA7F6B">
            <w:pPr>
              <w:rPr>
                <w:szCs w:val="20"/>
              </w:rPr>
            </w:pPr>
            <w:r>
              <w:rPr>
                <w:szCs w:val="20"/>
              </w:rPr>
              <w:t>PIR</w:t>
            </w:r>
          </w:p>
        </w:tc>
        <w:tc>
          <w:tcPr>
            <w:tcW w:w="7512" w:type="dxa"/>
            <w:tcBorders>
              <w:bottom w:val="nil"/>
            </w:tcBorders>
          </w:tcPr>
          <w:p w14:paraId="373AA8FD" w14:textId="77777777" w:rsidR="00BB4B68" w:rsidRPr="004C454A" w:rsidRDefault="00BB4B68" w:rsidP="00FA7F6B">
            <w:pPr>
              <w:ind w:left="116"/>
              <w:rPr>
                <w:szCs w:val="20"/>
              </w:rPr>
            </w:pPr>
            <w:r>
              <w:rPr>
                <w:szCs w:val="20"/>
              </w:rPr>
              <w:t>GEF Project Implementation Report</w:t>
            </w:r>
          </w:p>
        </w:tc>
      </w:tr>
      <w:tr w:rsidR="00BB4B68" w:rsidRPr="004C454A" w14:paraId="254A2FDD" w14:textId="77777777" w:rsidTr="00364C06">
        <w:trPr>
          <w:trHeight w:val="288"/>
        </w:trPr>
        <w:tc>
          <w:tcPr>
            <w:tcW w:w="1560" w:type="dxa"/>
            <w:tcBorders>
              <w:bottom w:val="nil"/>
            </w:tcBorders>
          </w:tcPr>
          <w:p w14:paraId="08465A90" w14:textId="77777777" w:rsidR="00BB4B68" w:rsidRPr="004C454A" w:rsidRDefault="00BB4B68" w:rsidP="00FA7F6B">
            <w:pPr>
              <w:rPr>
                <w:szCs w:val="20"/>
              </w:rPr>
            </w:pPr>
            <w:r w:rsidRPr="004C454A">
              <w:rPr>
                <w:szCs w:val="20"/>
              </w:rPr>
              <w:t>PMC</w:t>
            </w:r>
          </w:p>
        </w:tc>
        <w:tc>
          <w:tcPr>
            <w:tcW w:w="7512" w:type="dxa"/>
            <w:tcBorders>
              <w:bottom w:val="nil"/>
            </w:tcBorders>
          </w:tcPr>
          <w:p w14:paraId="0E0D0A20" w14:textId="77777777" w:rsidR="00BB4B68" w:rsidRPr="004C454A" w:rsidRDefault="00BB4B68" w:rsidP="00FA7F6B">
            <w:pPr>
              <w:ind w:left="116"/>
              <w:rPr>
                <w:szCs w:val="20"/>
              </w:rPr>
            </w:pPr>
            <w:r w:rsidRPr="004C454A">
              <w:rPr>
                <w:szCs w:val="20"/>
              </w:rPr>
              <w:t>Project Management Cost</w:t>
            </w:r>
          </w:p>
        </w:tc>
      </w:tr>
      <w:tr w:rsidR="00BB4B68" w:rsidRPr="00EE3E21" w14:paraId="04A3E90F" w14:textId="77777777" w:rsidTr="00364C06">
        <w:trPr>
          <w:trHeight w:val="288"/>
        </w:trPr>
        <w:tc>
          <w:tcPr>
            <w:tcW w:w="1560" w:type="dxa"/>
            <w:tcBorders>
              <w:bottom w:val="nil"/>
            </w:tcBorders>
          </w:tcPr>
          <w:p w14:paraId="2A1AFAA4" w14:textId="77777777" w:rsidR="00BB4B68" w:rsidRPr="004C454A" w:rsidRDefault="00BB4B68" w:rsidP="00FA7F6B">
            <w:pPr>
              <w:rPr>
                <w:szCs w:val="20"/>
              </w:rPr>
            </w:pPr>
            <w:r w:rsidRPr="004C454A">
              <w:rPr>
                <w:szCs w:val="20"/>
              </w:rPr>
              <w:t>POPP</w:t>
            </w:r>
          </w:p>
        </w:tc>
        <w:tc>
          <w:tcPr>
            <w:tcW w:w="7512" w:type="dxa"/>
            <w:tcBorders>
              <w:bottom w:val="nil"/>
            </w:tcBorders>
          </w:tcPr>
          <w:p w14:paraId="680E38BF" w14:textId="77777777" w:rsidR="00BB4B68" w:rsidRPr="00BB4B68" w:rsidRDefault="00BB4B68" w:rsidP="00FA7F6B">
            <w:pPr>
              <w:ind w:left="116"/>
              <w:rPr>
                <w:szCs w:val="20"/>
                <w:lang w:val="en-US"/>
              </w:rPr>
            </w:pPr>
            <w:r w:rsidRPr="00BB4B68">
              <w:rPr>
                <w:rFonts w:cs="Calibri"/>
                <w:szCs w:val="20"/>
                <w:lang w:val="en-US"/>
              </w:rPr>
              <w:t>Programme and Operations Policies and Procedures</w:t>
            </w:r>
          </w:p>
        </w:tc>
      </w:tr>
      <w:tr w:rsidR="00BB4B68" w:rsidRPr="00EE3E21" w14:paraId="551E5BF2" w14:textId="77777777" w:rsidTr="00364C06">
        <w:trPr>
          <w:trHeight w:val="288"/>
        </w:trPr>
        <w:tc>
          <w:tcPr>
            <w:tcW w:w="1560" w:type="dxa"/>
            <w:tcBorders>
              <w:bottom w:val="nil"/>
            </w:tcBorders>
          </w:tcPr>
          <w:p w14:paraId="1F30869E" w14:textId="77777777" w:rsidR="00BB4B68" w:rsidRDefault="00BB4B68" w:rsidP="00FA7F6B">
            <w:pPr>
              <w:rPr>
                <w:szCs w:val="20"/>
              </w:rPr>
            </w:pPr>
            <w:r w:rsidRPr="004C454A">
              <w:rPr>
                <w:szCs w:val="20"/>
              </w:rPr>
              <w:t>PPG</w:t>
            </w:r>
          </w:p>
          <w:p w14:paraId="23A92EA5" w14:textId="77777777" w:rsidR="00BB4B68" w:rsidRPr="004C454A" w:rsidRDefault="00BB4B68" w:rsidP="00FA7F6B">
            <w:pPr>
              <w:rPr>
                <w:szCs w:val="20"/>
              </w:rPr>
            </w:pPr>
            <w:r w:rsidRPr="00AA19D8">
              <w:rPr>
                <w:szCs w:val="20"/>
              </w:rPr>
              <w:t>MIA</w:t>
            </w:r>
          </w:p>
        </w:tc>
        <w:tc>
          <w:tcPr>
            <w:tcW w:w="7512" w:type="dxa"/>
            <w:tcBorders>
              <w:bottom w:val="nil"/>
            </w:tcBorders>
          </w:tcPr>
          <w:p w14:paraId="2C6F4237" w14:textId="77777777" w:rsidR="00BB4B68" w:rsidRPr="00BB4B68" w:rsidRDefault="00BB4B68" w:rsidP="00FA7F6B">
            <w:pPr>
              <w:ind w:left="116"/>
              <w:rPr>
                <w:szCs w:val="20"/>
                <w:lang w:val="en-US"/>
              </w:rPr>
            </w:pPr>
            <w:r w:rsidRPr="00BB4B68">
              <w:rPr>
                <w:szCs w:val="20"/>
                <w:lang w:val="en-US"/>
              </w:rPr>
              <w:t>Project Preparation Grant</w:t>
            </w:r>
          </w:p>
          <w:p w14:paraId="434BFC64" w14:textId="77777777" w:rsidR="00BB4B68" w:rsidRPr="00BB4B68" w:rsidRDefault="00BB4B68" w:rsidP="00FA7F6B">
            <w:pPr>
              <w:ind w:left="116"/>
              <w:rPr>
                <w:szCs w:val="20"/>
                <w:lang w:val="en-US"/>
              </w:rPr>
            </w:pPr>
            <w:r w:rsidRPr="00BB4B68">
              <w:rPr>
                <w:rFonts w:eastAsia="Arial Unicode MS"/>
                <w:szCs w:val="20"/>
                <w:lang w:val="en-US"/>
              </w:rPr>
              <w:t>Mercury Initial Assessment</w:t>
            </w:r>
          </w:p>
        </w:tc>
      </w:tr>
      <w:tr w:rsidR="005104D0" w:rsidRPr="00EE3E21" w14:paraId="0E633CBD" w14:textId="77777777" w:rsidTr="00364C06">
        <w:trPr>
          <w:trHeight w:val="288"/>
        </w:trPr>
        <w:tc>
          <w:tcPr>
            <w:tcW w:w="1560" w:type="dxa"/>
            <w:tcBorders>
              <w:bottom w:val="nil"/>
            </w:tcBorders>
          </w:tcPr>
          <w:p w14:paraId="2667BF15" w14:textId="101DCB3F" w:rsidR="005104D0" w:rsidRPr="004C454A" w:rsidRDefault="005104D0" w:rsidP="00FA7F6B">
            <w:pPr>
              <w:rPr>
                <w:szCs w:val="20"/>
              </w:rPr>
            </w:pPr>
            <w:r>
              <w:rPr>
                <w:szCs w:val="20"/>
              </w:rPr>
              <w:t>OGS</w:t>
            </w:r>
          </w:p>
        </w:tc>
        <w:tc>
          <w:tcPr>
            <w:tcW w:w="7512" w:type="dxa"/>
            <w:tcBorders>
              <w:bottom w:val="nil"/>
            </w:tcBorders>
          </w:tcPr>
          <w:p w14:paraId="751A5607" w14:textId="292396F8" w:rsidR="005104D0" w:rsidRPr="00BB4B68" w:rsidRDefault="009B361D" w:rsidP="00B03A93">
            <w:pPr>
              <w:ind w:left="116"/>
              <w:rPr>
                <w:szCs w:val="20"/>
                <w:lang w:val="en-US"/>
              </w:rPr>
            </w:pPr>
            <w:r w:rsidRPr="009B361D">
              <w:rPr>
                <w:szCs w:val="20"/>
                <w:lang w:val="en-US"/>
              </w:rPr>
              <w:t xml:space="preserve">Commission Regulation of the Gold Sector </w:t>
            </w:r>
            <w:r w:rsidR="00B03A93">
              <w:rPr>
                <w:szCs w:val="20"/>
                <w:lang w:val="en-US"/>
              </w:rPr>
              <w:t>(</w:t>
            </w:r>
            <w:r w:rsidR="00B03A93" w:rsidRPr="00B03A93">
              <w:rPr>
                <w:szCs w:val="20"/>
                <w:lang w:val="en-US"/>
              </w:rPr>
              <w:t>Commissie Ordening Goudsector</w:t>
            </w:r>
            <w:r w:rsidR="00B03A93">
              <w:rPr>
                <w:szCs w:val="20"/>
                <w:lang w:val="en-US"/>
              </w:rPr>
              <w:t>)</w:t>
            </w:r>
          </w:p>
        </w:tc>
      </w:tr>
      <w:tr w:rsidR="009B361D" w:rsidRPr="00364C06" w14:paraId="45FE664E" w14:textId="77777777" w:rsidTr="005104D0">
        <w:trPr>
          <w:trHeight w:val="288"/>
        </w:trPr>
        <w:tc>
          <w:tcPr>
            <w:tcW w:w="1560" w:type="dxa"/>
            <w:tcBorders>
              <w:bottom w:val="nil"/>
            </w:tcBorders>
          </w:tcPr>
          <w:p w14:paraId="7CE4CBDE" w14:textId="4BA7A882" w:rsidR="009B361D" w:rsidRPr="004C454A" w:rsidRDefault="009B361D" w:rsidP="00FA7F6B">
            <w:pPr>
              <w:rPr>
                <w:szCs w:val="20"/>
              </w:rPr>
            </w:pPr>
            <w:r>
              <w:rPr>
                <w:szCs w:val="20"/>
              </w:rPr>
              <w:t>SCF</w:t>
            </w:r>
          </w:p>
        </w:tc>
        <w:tc>
          <w:tcPr>
            <w:tcW w:w="7512" w:type="dxa"/>
            <w:tcBorders>
              <w:bottom w:val="nil"/>
            </w:tcBorders>
          </w:tcPr>
          <w:p w14:paraId="706DF935" w14:textId="7605D05C" w:rsidR="009B361D" w:rsidRPr="00BB4B68" w:rsidRDefault="009B361D" w:rsidP="009B361D">
            <w:pPr>
              <w:ind w:left="116"/>
              <w:rPr>
                <w:szCs w:val="20"/>
                <w:lang w:val="en-US"/>
              </w:rPr>
            </w:pPr>
            <w:r>
              <w:rPr>
                <w:szCs w:val="20"/>
                <w:lang w:val="en-US"/>
              </w:rPr>
              <w:t>Suriname Conservation Fund</w:t>
            </w:r>
          </w:p>
        </w:tc>
      </w:tr>
      <w:tr w:rsidR="009B361D" w:rsidRPr="00EE3E21" w14:paraId="792E6683" w14:textId="77777777" w:rsidTr="005104D0">
        <w:trPr>
          <w:trHeight w:val="288"/>
        </w:trPr>
        <w:tc>
          <w:tcPr>
            <w:tcW w:w="1560" w:type="dxa"/>
            <w:tcBorders>
              <w:bottom w:val="nil"/>
            </w:tcBorders>
          </w:tcPr>
          <w:p w14:paraId="4B7BECBF" w14:textId="041FA4B5" w:rsidR="009B361D" w:rsidRDefault="009B361D" w:rsidP="00FA7F6B">
            <w:pPr>
              <w:rPr>
                <w:szCs w:val="20"/>
              </w:rPr>
            </w:pPr>
            <w:r>
              <w:rPr>
                <w:szCs w:val="20"/>
              </w:rPr>
              <w:t>SEMIF</w:t>
            </w:r>
          </w:p>
        </w:tc>
        <w:tc>
          <w:tcPr>
            <w:tcW w:w="7512" w:type="dxa"/>
            <w:tcBorders>
              <w:bottom w:val="nil"/>
            </w:tcBorders>
          </w:tcPr>
          <w:p w14:paraId="6C364628" w14:textId="19346DAB" w:rsidR="009B361D" w:rsidRDefault="009B361D" w:rsidP="00FA7F6B">
            <w:pPr>
              <w:ind w:left="116"/>
              <w:rPr>
                <w:szCs w:val="20"/>
                <w:lang w:val="en-US"/>
              </w:rPr>
            </w:pPr>
            <w:r w:rsidRPr="009B361D">
              <w:rPr>
                <w:szCs w:val="20"/>
                <w:lang w:val="en-US"/>
              </w:rPr>
              <w:t>Suriname Environmental and Mining Foundation</w:t>
            </w:r>
          </w:p>
        </w:tc>
      </w:tr>
      <w:tr w:rsidR="00BB4B68" w:rsidRPr="00EE3E21" w14:paraId="1829BD9D" w14:textId="77777777" w:rsidTr="00364C06">
        <w:trPr>
          <w:trHeight w:val="288"/>
        </w:trPr>
        <w:tc>
          <w:tcPr>
            <w:tcW w:w="1560" w:type="dxa"/>
            <w:tcBorders>
              <w:bottom w:val="nil"/>
            </w:tcBorders>
          </w:tcPr>
          <w:p w14:paraId="08BA4808" w14:textId="77777777" w:rsidR="00BB4B68" w:rsidRPr="004C454A" w:rsidRDefault="00BB4B68" w:rsidP="00FA7F6B">
            <w:pPr>
              <w:rPr>
                <w:szCs w:val="20"/>
              </w:rPr>
            </w:pPr>
            <w:r w:rsidRPr="004C454A">
              <w:rPr>
                <w:szCs w:val="20"/>
              </w:rPr>
              <w:t>STAP</w:t>
            </w:r>
          </w:p>
        </w:tc>
        <w:tc>
          <w:tcPr>
            <w:tcW w:w="7512" w:type="dxa"/>
            <w:tcBorders>
              <w:bottom w:val="nil"/>
            </w:tcBorders>
          </w:tcPr>
          <w:p w14:paraId="6D6A0AB5" w14:textId="77777777" w:rsidR="00BB4B68" w:rsidRPr="00BB4B68" w:rsidRDefault="00BB4B68" w:rsidP="00FA7F6B">
            <w:pPr>
              <w:ind w:left="116"/>
              <w:rPr>
                <w:szCs w:val="20"/>
                <w:lang w:val="en-US"/>
              </w:rPr>
            </w:pPr>
            <w:r w:rsidRPr="00BB4B68">
              <w:rPr>
                <w:szCs w:val="20"/>
                <w:lang w:val="en-US"/>
              </w:rPr>
              <w:t>GEF Scientific Technical Advisory Panel</w:t>
            </w:r>
          </w:p>
        </w:tc>
      </w:tr>
      <w:tr w:rsidR="004F2890" w:rsidRPr="00EE3E21" w14:paraId="1378CE92" w14:textId="77777777" w:rsidTr="00364C06">
        <w:trPr>
          <w:trHeight w:val="288"/>
        </w:trPr>
        <w:tc>
          <w:tcPr>
            <w:tcW w:w="1560" w:type="dxa"/>
            <w:tcBorders>
              <w:bottom w:val="nil"/>
            </w:tcBorders>
          </w:tcPr>
          <w:p w14:paraId="0D2AABC1" w14:textId="0CFA70B2" w:rsidR="004F2890" w:rsidRPr="004C454A" w:rsidRDefault="004F2890" w:rsidP="00FA7F6B">
            <w:pPr>
              <w:rPr>
                <w:szCs w:val="20"/>
              </w:rPr>
            </w:pPr>
            <w:r>
              <w:rPr>
                <w:szCs w:val="20"/>
              </w:rPr>
              <w:t>RO</w:t>
            </w:r>
          </w:p>
        </w:tc>
        <w:tc>
          <w:tcPr>
            <w:tcW w:w="7512" w:type="dxa"/>
            <w:tcBorders>
              <w:bottom w:val="nil"/>
            </w:tcBorders>
          </w:tcPr>
          <w:p w14:paraId="390BC45C" w14:textId="4668A277" w:rsidR="004F2890" w:rsidRPr="00BB4B68" w:rsidRDefault="004F2890" w:rsidP="00FA7F6B">
            <w:pPr>
              <w:ind w:left="116"/>
              <w:rPr>
                <w:szCs w:val="20"/>
                <w:lang w:val="en-US"/>
              </w:rPr>
            </w:pPr>
            <w:r>
              <w:rPr>
                <w:szCs w:val="20"/>
                <w:lang w:val="en-US"/>
              </w:rPr>
              <w:t>Ministry of Regional Development</w:t>
            </w:r>
          </w:p>
        </w:tc>
      </w:tr>
      <w:tr w:rsidR="00BB4B68" w:rsidRPr="004C454A" w14:paraId="7670AB83" w14:textId="77777777" w:rsidTr="00364C06">
        <w:trPr>
          <w:trHeight w:val="288"/>
        </w:trPr>
        <w:tc>
          <w:tcPr>
            <w:tcW w:w="1560" w:type="dxa"/>
            <w:tcBorders>
              <w:bottom w:val="nil"/>
            </w:tcBorders>
          </w:tcPr>
          <w:p w14:paraId="145BED41" w14:textId="77777777" w:rsidR="00BB4B68" w:rsidRPr="004C454A" w:rsidRDefault="00BB4B68" w:rsidP="00FA7F6B">
            <w:pPr>
              <w:rPr>
                <w:szCs w:val="20"/>
              </w:rPr>
            </w:pPr>
            <w:r w:rsidRPr="004C454A">
              <w:rPr>
                <w:szCs w:val="20"/>
              </w:rPr>
              <w:t>TOR</w:t>
            </w:r>
          </w:p>
        </w:tc>
        <w:tc>
          <w:tcPr>
            <w:tcW w:w="7512" w:type="dxa"/>
            <w:tcBorders>
              <w:bottom w:val="nil"/>
            </w:tcBorders>
          </w:tcPr>
          <w:p w14:paraId="25A99974" w14:textId="77777777" w:rsidR="00BB4B68" w:rsidRPr="004C454A" w:rsidRDefault="00BB4B68" w:rsidP="00FA7F6B">
            <w:pPr>
              <w:ind w:left="116"/>
              <w:rPr>
                <w:szCs w:val="20"/>
              </w:rPr>
            </w:pPr>
            <w:r w:rsidRPr="004C454A">
              <w:rPr>
                <w:szCs w:val="20"/>
              </w:rPr>
              <w:t>Terms of Reference</w:t>
            </w:r>
          </w:p>
        </w:tc>
      </w:tr>
      <w:tr w:rsidR="005104D0" w:rsidRPr="004C454A" w14:paraId="10F72446" w14:textId="77777777" w:rsidTr="00364C06">
        <w:trPr>
          <w:trHeight w:val="288"/>
        </w:trPr>
        <w:tc>
          <w:tcPr>
            <w:tcW w:w="1560" w:type="dxa"/>
            <w:tcBorders>
              <w:bottom w:val="nil"/>
            </w:tcBorders>
          </w:tcPr>
          <w:p w14:paraId="23732845" w14:textId="743748F3" w:rsidR="005104D0" w:rsidRPr="004C454A" w:rsidRDefault="005104D0" w:rsidP="00FA7F6B">
            <w:pPr>
              <w:rPr>
                <w:szCs w:val="20"/>
              </w:rPr>
            </w:pPr>
            <w:r>
              <w:rPr>
                <w:szCs w:val="20"/>
              </w:rPr>
              <w:t>WWF</w:t>
            </w:r>
          </w:p>
        </w:tc>
        <w:tc>
          <w:tcPr>
            <w:tcW w:w="7512" w:type="dxa"/>
            <w:tcBorders>
              <w:bottom w:val="nil"/>
            </w:tcBorders>
          </w:tcPr>
          <w:p w14:paraId="13DC9970" w14:textId="413048E4" w:rsidR="005104D0" w:rsidRPr="004C454A" w:rsidRDefault="00B03A93" w:rsidP="00FA7F6B">
            <w:pPr>
              <w:ind w:left="116"/>
              <w:rPr>
                <w:szCs w:val="20"/>
              </w:rPr>
            </w:pPr>
            <w:r w:rsidRPr="00B03A93">
              <w:rPr>
                <w:szCs w:val="20"/>
              </w:rPr>
              <w:t>World Wildlife Fund</w:t>
            </w:r>
          </w:p>
        </w:tc>
      </w:tr>
      <w:tr w:rsidR="005104D0" w:rsidRPr="00EE3E21" w14:paraId="61532803" w14:textId="77777777" w:rsidTr="00364C06">
        <w:trPr>
          <w:trHeight w:val="288"/>
        </w:trPr>
        <w:tc>
          <w:tcPr>
            <w:tcW w:w="1560" w:type="dxa"/>
            <w:tcBorders>
              <w:bottom w:val="nil"/>
            </w:tcBorders>
          </w:tcPr>
          <w:p w14:paraId="1A59DBA2" w14:textId="4E32EF74" w:rsidR="005104D0" w:rsidRDefault="005104D0" w:rsidP="00FA7F6B">
            <w:pPr>
              <w:rPr>
                <w:szCs w:val="20"/>
              </w:rPr>
            </w:pPr>
            <w:r>
              <w:rPr>
                <w:szCs w:val="20"/>
              </w:rPr>
              <w:t>UNASAT</w:t>
            </w:r>
          </w:p>
        </w:tc>
        <w:tc>
          <w:tcPr>
            <w:tcW w:w="7512" w:type="dxa"/>
            <w:tcBorders>
              <w:bottom w:val="nil"/>
            </w:tcBorders>
          </w:tcPr>
          <w:p w14:paraId="044B8C54" w14:textId="625D8B8E" w:rsidR="005104D0" w:rsidRPr="00364C06" w:rsidRDefault="005104D0" w:rsidP="00FA7F6B">
            <w:pPr>
              <w:ind w:left="116"/>
              <w:rPr>
                <w:szCs w:val="20"/>
                <w:lang w:val="en-US"/>
              </w:rPr>
            </w:pPr>
            <w:r w:rsidRPr="00364C06">
              <w:rPr>
                <w:szCs w:val="20"/>
                <w:lang w:val="en-US"/>
              </w:rPr>
              <w:t>University of Applied Sciences and Technology</w:t>
            </w:r>
          </w:p>
        </w:tc>
      </w:tr>
      <w:tr w:rsidR="00BB4B68" w:rsidRPr="004C454A" w14:paraId="5B7F82DC" w14:textId="77777777" w:rsidTr="00364C06">
        <w:trPr>
          <w:trHeight w:val="288"/>
        </w:trPr>
        <w:tc>
          <w:tcPr>
            <w:tcW w:w="1560" w:type="dxa"/>
            <w:tcBorders>
              <w:bottom w:val="nil"/>
            </w:tcBorders>
          </w:tcPr>
          <w:p w14:paraId="5B70BF84" w14:textId="77777777" w:rsidR="00BB4B68" w:rsidRPr="004C454A" w:rsidRDefault="00BB4B68" w:rsidP="00FA7F6B">
            <w:pPr>
              <w:rPr>
                <w:szCs w:val="20"/>
              </w:rPr>
            </w:pPr>
            <w:r w:rsidRPr="004C454A">
              <w:rPr>
                <w:szCs w:val="20"/>
              </w:rPr>
              <w:t>UNDP</w:t>
            </w:r>
          </w:p>
        </w:tc>
        <w:tc>
          <w:tcPr>
            <w:tcW w:w="7512" w:type="dxa"/>
            <w:tcBorders>
              <w:bottom w:val="nil"/>
            </w:tcBorders>
          </w:tcPr>
          <w:p w14:paraId="0F701FC5" w14:textId="77777777" w:rsidR="00BB4B68" w:rsidRPr="004C454A" w:rsidRDefault="00BB4B68" w:rsidP="00FA7F6B">
            <w:pPr>
              <w:ind w:left="116"/>
              <w:rPr>
                <w:szCs w:val="20"/>
              </w:rPr>
            </w:pPr>
            <w:r w:rsidRPr="004C454A">
              <w:rPr>
                <w:szCs w:val="20"/>
              </w:rPr>
              <w:t>United Nations Development Programme</w:t>
            </w:r>
          </w:p>
        </w:tc>
      </w:tr>
      <w:tr w:rsidR="00BB4B68" w:rsidRPr="001C4C6E" w14:paraId="25C4C245" w14:textId="77777777" w:rsidTr="00364C06">
        <w:trPr>
          <w:trHeight w:val="288"/>
        </w:trPr>
        <w:tc>
          <w:tcPr>
            <w:tcW w:w="1560" w:type="dxa"/>
            <w:tcBorders>
              <w:bottom w:val="nil"/>
            </w:tcBorders>
          </w:tcPr>
          <w:p w14:paraId="45CC17E6" w14:textId="77777777" w:rsidR="00BB4B68" w:rsidRPr="001C4C6E" w:rsidRDefault="00BB4B68" w:rsidP="00FA7F6B">
            <w:pPr>
              <w:pStyle w:val="NoSpacing"/>
              <w:rPr>
                <w:rFonts w:cs="Calibri"/>
              </w:rPr>
            </w:pPr>
            <w:r w:rsidRPr="001C4C6E">
              <w:rPr>
                <w:rFonts w:cs="Calibri"/>
              </w:rPr>
              <w:t>UNDP-GEF</w:t>
            </w:r>
          </w:p>
        </w:tc>
        <w:tc>
          <w:tcPr>
            <w:tcW w:w="7512" w:type="dxa"/>
            <w:tcBorders>
              <w:bottom w:val="nil"/>
            </w:tcBorders>
          </w:tcPr>
          <w:p w14:paraId="41BDB490" w14:textId="77777777" w:rsidR="00BB4B68" w:rsidRPr="001C4C6E" w:rsidRDefault="00BB4B68" w:rsidP="00FA7F6B">
            <w:pPr>
              <w:pStyle w:val="NoSpacing"/>
              <w:ind w:left="116"/>
              <w:rPr>
                <w:rFonts w:cs="Calibri"/>
              </w:rPr>
            </w:pPr>
            <w:r w:rsidRPr="001C4C6E">
              <w:rPr>
                <w:rFonts w:cs="Calibri"/>
              </w:rPr>
              <w:t>UNDP Global Environmental Finance</w:t>
            </w:r>
          </w:p>
        </w:tc>
      </w:tr>
      <w:tr w:rsidR="00BB4B68" w:rsidRPr="004C454A" w14:paraId="26266361" w14:textId="77777777" w:rsidTr="00364C06">
        <w:trPr>
          <w:trHeight w:val="20"/>
        </w:trPr>
        <w:tc>
          <w:tcPr>
            <w:tcW w:w="1560" w:type="dxa"/>
            <w:tcBorders>
              <w:bottom w:val="nil"/>
              <w:right w:val="nil"/>
            </w:tcBorders>
          </w:tcPr>
          <w:p w14:paraId="085D8F43" w14:textId="01F1E5CC" w:rsidR="00BB4B68" w:rsidRPr="004C454A" w:rsidRDefault="00CD7242" w:rsidP="00FA7F6B">
            <w:pPr>
              <w:pStyle w:val="NoSpacing"/>
              <w:rPr>
                <w:rFonts w:cs="Calibri"/>
                <w:sz w:val="20"/>
              </w:rPr>
            </w:pPr>
            <w:r>
              <w:rPr>
                <w:rFonts w:cs="Calibri"/>
                <w:sz w:val="20"/>
              </w:rPr>
              <w:t>MoH</w:t>
            </w:r>
          </w:p>
        </w:tc>
        <w:tc>
          <w:tcPr>
            <w:tcW w:w="7512" w:type="dxa"/>
            <w:tcBorders>
              <w:left w:val="nil"/>
              <w:bottom w:val="nil"/>
            </w:tcBorders>
          </w:tcPr>
          <w:p w14:paraId="084DA7AE" w14:textId="5CB57F9D" w:rsidR="00BB4B68" w:rsidRPr="004C454A" w:rsidRDefault="00CD7242" w:rsidP="00FA7F6B">
            <w:pPr>
              <w:pStyle w:val="NoSpacing"/>
              <w:ind w:left="116"/>
              <w:rPr>
                <w:rFonts w:cs="Calibri"/>
                <w:sz w:val="20"/>
              </w:rPr>
            </w:pPr>
            <w:r>
              <w:rPr>
                <w:rFonts w:cs="Calibri"/>
                <w:sz w:val="20"/>
              </w:rPr>
              <w:t>Ministry of Health</w:t>
            </w:r>
          </w:p>
        </w:tc>
      </w:tr>
    </w:tbl>
    <w:p w14:paraId="29BF3750" w14:textId="77777777" w:rsidR="00BB4B68" w:rsidRDefault="00BB4B68" w:rsidP="00BB4B68">
      <w:pPr>
        <w:spacing w:after="0"/>
        <w:rPr>
          <w:rFonts w:cs="Arial"/>
          <w:b/>
        </w:rPr>
      </w:pPr>
    </w:p>
    <w:p w14:paraId="1BDF1D50" w14:textId="708E6DC0" w:rsidR="00BB4B68" w:rsidRPr="0019755B" w:rsidRDefault="00BB4B68" w:rsidP="00BB4B68">
      <w:pPr>
        <w:spacing w:after="0"/>
        <w:rPr>
          <w:rFonts w:cs="Arial"/>
          <w:b/>
        </w:rPr>
      </w:pPr>
      <w:r w:rsidRPr="00602F1A">
        <w:rPr>
          <w:rFonts w:cs="Arial"/>
          <w:b/>
          <w:sz w:val="28"/>
          <w:szCs w:val="28"/>
        </w:rPr>
        <w:t>List of Tables and Figures</w:t>
      </w:r>
      <w:r>
        <w:rPr>
          <w:rFonts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137"/>
        <w:gridCol w:w="981"/>
      </w:tblGrid>
      <w:tr w:rsidR="00BB4B68" w:rsidRPr="001C4C6E" w14:paraId="5F7ACC87" w14:textId="77777777" w:rsidTr="00FA7F6B">
        <w:trPr>
          <w:trHeight w:val="288"/>
        </w:trPr>
        <w:tc>
          <w:tcPr>
            <w:tcW w:w="962" w:type="dxa"/>
          </w:tcPr>
          <w:p w14:paraId="59743FE8" w14:textId="77777777" w:rsidR="00BB4B68" w:rsidRPr="001C4C6E" w:rsidRDefault="00BB4B68" w:rsidP="00FA7F6B">
            <w:r w:rsidRPr="001C4C6E">
              <w:t>Table 1</w:t>
            </w:r>
          </w:p>
        </w:tc>
        <w:tc>
          <w:tcPr>
            <w:tcW w:w="7401" w:type="dxa"/>
          </w:tcPr>
          <w:p w14:paraId="5BC489D0" w14:textId="1F70CFF0" w:rsidR="00BB4B68" w:rsidRPr="001C4C6E" w:rsidRDefault="001C4C6E" w:rsidP="001C4C6E">
            <w:pPr>
              <w:rPr>
                <w:lang w:val="en-US"/>
              </w:rPr>
            </w:pPr>
            <w:r w:rsidRPr="001C4C6E">
              <w:rPr>
                <w:lang w:val="en-US"/>
              </w:rPr>
              <w:t>Key stakeholders within the ASGM</w:t>
            </w:r>
          </w:p>
        </w:tc>
        <w:tc>
          <w:tcPr>
            <w:tcW w:w="997" w:type="dxa"/>
          </w:tcPr>
          <w:p w14:paraId="1DE7C4EF" w14:textId="45E5EB13" w:rsidR="00BB4B68" w:rsidRPr="001C4C6E" w:rsidRDefault="001C4C6E" w:rsidP="00FA7F6B">
            <w:r w:rsidRPr="001C4C6E">
              <w:t>Page 20</w:t>
            </w:r>
          </w:p>
        </w:tc>
      </w:tr>
      <w:tr w:rsidR="001C4C6E" w:rsidRPr="001C4C6E" w14:paraId="50ABAD30" w14:textId="77777777" w:rsidTr="00FA7F6B">
        <w:trPr>
          <w:trHeight w:val="288"/>
        </w:trPr>
        <w:tc>
          <w:tcPr>
            <w:tcW w:w="962" w:type="dxa"/>
          </w:tcPr>
          <w:p w14:paraId="1BB62BFB" w14:textId="651FE912" w:rsidR="001C4C6E" w:rsidRPr="001C4C6E" w:rsidRDefault="001C4C6E" w:rsidP="00FA7F6B">
            <w:r w:rsidRPr="001C4C6E">
              <w:t>Table 2</w:t>
            </w:r>
          </w:p>
        </w:tc>
        <w:tc>
          <w:tcPr>
            <w:tcW w:w="7401" w:type="dxa"/>
          </w:tcPr>
          <w:p w14:paraId="36C209F6" w14:textId="3784739B" w:rsidR="001C4C6E" w:rsidRPr="001C4C6E" w:rsidRDefault="001C4C6E" w:rsidP="001C4C6E">
            <w:pPr>
              <w:rPr>
                <w:lang w:val="en-US"/>
              </w:rPr>
            </w:pPr>
            <w:r w:rsidRPr="001C4C6E">
              <w:rPr>
                <w:lang w:val="en-US"/>
              </w:rPr>
              <w:t>Risk management</w:t>
            </w:r>
          </w:p>
        </w:tc>
        <w:tc>
          <w:tcPr>
            <w:tcW w:w="997" w:type="dxa"/>
          </w:tcPr>
          <w:p w14:paraId="4D04EAAC" w14:textId="6F53D5D3" w:rsidR="001C4C6E" w:rsidRPr="001C4C6E" w:rsidRDefault="001C4C6E" w:rsidP="00FA7F6B">
            <w:r w:rsidRPr="001C4C6E">
              <w:t>Page 21</w:t>
            </w:r>
          </w:p>
        </w:tc>
      </w:tr>
      <w:tr w:rsidR="001C4C6E" w:rsidRPr="001C4C6E" w14:paraId="6BCC39B5" w14:textId="77777777" w:rsidTr="00FA7F6B">
        <w:trPr>
          <w:trHeight w:val="288"/>
        </w:trPr>
        <w:tc>
          <w:tcPr>
            <w:tcW w:w="962" w:type="dxa"/>
          </w:tcPr>
          <w:p w14:paraId="03200643" w14:textId="1CB50EBB" w:rsidR="001C4C6E" w:rsidRPr="001C4C6E" w:rsidRDefault="001C4C6E" w:rsidP="00FA7F6B">
            <w:r>
              <w:t>Table 3</w:t>
            </w:r>
          </w:p>
        </w:tc>
        <w:tc>
          <w:tcPr>
            <w:tcW w:w="7401" w:type="dxa"/>
          </w:tcPr>
          <w:p w14:paraId="7E9CEEBC" w14:textId="16F6A50C" w:rsidR="001C4C6E" w:rsidRPr="001C4C6E" w:rsidRDefault="001C4C6E" w:rsidP="001C4C6E">
            <w:pPr>
              <w:rPr>
                <w:lang w:val="en-US"/>
              </w:rPr>
            </w:pPr>
            <w:r w:rsidRPr="001C4C6E">
              <w:rPr>
                <w:lang w:val="en-US"/>
              </w:rPr>
              <w:t>Mandatory GEF M&amp;E Requirements and M&amp;E Budget:</w:t>
            </w:r>
          </w:p>
        </w:tc>
        <w:tc>
          <w:tcPr>
            <w:tcW w:w="997" w:type="dxa"/>
          </w:tcPr>
          <w:p w14:paraId="657F9D8E" w14:textId="0F267962" w:rsidR="001C4C6E" w:rsidRPr="001C4C6E" w:rsidRDefault="001C4C6E" w:rsidP="00FA7F6B">
            <w:pPr>
              <w:rPr>
                <w:lang w:val="en-US"/>
              </w:rPr>
            </w:pPr>
            <w:r>
              <w:rPr>
                <w:lang w:val="en-US"/>
              </w:rPr>
              <w:t>Page 29</w:t>
            </w:r>
          </w:p>
        </w:tc>
      </w:tr>
      <w:tr w:rsidR="00BB4B68" w:rsidRPr="001C4C6E" w14:paraId="596EE630" w14:textId="77777777" w:rsidTr="00FA7F6B">
        <w:trPr>
          <w:trHeight w:val="288"/>
        </w:trPr>
        <w:tc>
          <w:tcPr>
            <w:tcW w:w="962" w:type="dxa"/>
          </w:tcPr>
          <w:p w14:paraId="050550BB" w14:textId="77777777" w:rsidR="00BB4B68" w:rsidRPr="001C4C6E" w:rsidRDefault="00BB4B68" w:rsidP="00FA7F6B">
            <w:r w:rsidRPr="001C4C6E">
              <w:t>Figure 1</w:t>
            </w:r>
          </w:p>
        </w:tc>
        <w:tc>
          <w:tcPr>
            <w:tcW w:w="7401" w:type="dxa"/>
          </w:tcPr>
          <w:p w14:paraId="37F6C8D0" w14:textId="657910C0" w:rsidR="00BB4B68" w:rsidRPr="001C4C6E" w:rsidRDefault="001C4C6E" w:rsidP="001C4C6E">
            <w:pPr>
              <w:rPr>
                <w:lang w:val="en-US"/>
              </w:rPr>
            </w:pPr>
            <w:r w:rsidRPr="001C4C6E">
              <w:rPr>
                <w:lang w:val="en-US"/>
              </w:rPr>
              <w:t>Map of ASGM sector in Suriname. Source: M. Heemskerk 2009</w:t>
            </w:r>
          </w:p>
        </w:tc>
        <w:tc>
          <w:tcPr>
            <w:tcW w:w="997" w:type="dxa"/>
          </w:tcPr>
          <w:p w14:paraId="118293DB" w14:textId="769FB673" w:rsidR="00BB4B68" w:rsidRPr="001C4C6E" w:rsidRDefault="001C4C6E" w:rsidP="001C4C6E">
            <w:pPr>
              <w:rPr>
                <w:lang w:val="en-US"/>
              </w:rPr>
            </w:pPr>
            <w:r w:rsidRPr="001C4C6E">
              <w:rPr>
                <w:lang w:val="en-US"/>
              </w:rPr>
              <w:t>Page 7</w:t>
            </w:r>
          </w:p>
        </w:tc>
      </w:tr>
      <w:tr w:rsidR="00BB4B68" w:rsidRPr="001C4C6E" w14:paraId="1D790244" w14:textId="77777777" w:rsidTr="00FA7F6B">
        <w:trPr>
          <w:trHeight w:val="288"/>
        </w:trPr>
        <w:tc>
          <w:tcPr>
            <w:tcW w:w="962" w:type="dxa"/>
          </w:tcPr>
          <w:p w14:paraId="0E81B108" w14:textId="77777777" w:rsidR="00BB4B68" w:rsidRPr="001C4C6E" w:rsidRDefault="00BB4B68" w:rsidP="00FA7F6B">
            <w:pPr>
              <w:rPr>
                <w:szCs w:val="20"/>
                <w:lang w:val="en-US"/>
              </w:rPr>
            </w:pPr>
          </w:p>
        </w:tc>
        <w:tc>
          <w:tcPr>
            <w:tcW w:w="7401" w:type="dxa"/>
          </w:tcPr>
          <w:p w14:paraId="20714179" w14:textId="77777777" w:rsidR="00BB4B68" w:rsidRPr="001C4C6E" w:rsidRDefault="00BB4B68" w:rsidP="00FA7F6B">
            <w:pPr>
              <w:ind w:left="116"/>
              <w:rPr>
                <w:szCs w:val="20"/>
                <w:lang w:val="en-US"/>
              </w:rPr>
            </w:pPr>
          </w:p>
        </w:tc>
        <w:tc>
          <w:tcPr>
            <w:tcW w:w="997" w:type="dxa"/>
          </w:tcPr>
          <w:p w14:paraId="33E96FF6" w14:textId="77777777" w:rsidR="00BB4B68" w:rsidRPr="001C4C6E" w:rsidRDefault="00BB4B68" w:rsidP="00FA7F6B">
            <w:pPr>
              <w:ind w:left="116"/>
              <w:rPr>
                <w:szCs w:val="20"/>
                <w:lang w:val="en-US"/>
              </w:rPr>
            </w:pPr>
          </w:p>
        </w:tc>
      </w:tr>
      <w:tr w:rsidR="00BB4B68" w:rsidRPr="001C4C6E" w14:paraId="7DC7C9DA" w14:textId="77777777" w:rsidTr="00FA7F6B">
        <w:trPr>
          <w:trHeight w:val="288"/>
        </w:trPr>
        <w:tc>
          <w:tcPr>
            <w:tcW w:w="962" w:type="dxa"/>
          </w:tcPr>
          <w:p w14:paraId="4658B2A2" w14:textId="77777777" w:rsidR="00BB4B68" w:rsidRPr="001C4C6E" w:rsidRDefault="00BB4B68" w:rsidP="00FA7F6B">
            <w:pPr>
              <w:rPr>
                <w:szCs w:val="20"/>
                <w:lang w:val="en-US"/>
              </w:rPr>
            </w:pPr>
          </w:p>
        </w:tc>
        <w:tc>
          <w:tcPr>
            <w:tcW w:w="7401" w:type="dxa"/>
          </w:tcPr>
          <w:p w14:paraId="53C9D913" w14:textId="77777777" w:rsidR="00BB4B68" w:rsidRPr="001C4C6E" w:rsidRDefault="00BB4B68" w:rsidP="00FA7F6B">
            <w:pPr>
              <w:ind w:left="116"/>
              <w:rPr>
                <w:szCs w:val="20"/>
                <w:lang w:val="en-US"/>
              </w:rPr>
            </w:pPr>
          </w:p>
        </w:tc>
        <w:tc>
          <w:tcPr>
            <w:tcW w:w="997" w:type="dxa"/>
          </w:tcPr>
          <w:p w14:paraId="0199A125" w14:textId="77777777" w:rsidR="00BB4B68" w:rsidRPr="001C4C6E" w:rsidRDefault="00BB4B68" w:rsidP="00FA7F6B">
            <w:pPr>
              <w:ind w:left="116"/>
              <w:rPr>
                <w:szCs w:val="20"/>
                <w:lang w:val="en-US"/>
              </w:rPr>
            </w:pPr>
          </w:p>
        </w:tc>
      </w:tr>
      <w:tr w:rsidR="00BB4B68" w:rsidRPr="001C4C6E" w14:paraId="4F1B544B" w14:textId="77777777" w:rsidTr="00FA7F6B">
        <w:trPr>
          <w:trHeight w:val="288"/>
        </w:trPr>
        <w:tc>
          <w:tcPr>
            <w:tcW w:w="962" w:type="dxa"/>
          </w:tcPr>
          <w:p w14:paraId="74979FFD" w14:textId="77777777" w:rsidR="00BB4B68" w:rsidRPr="001C4C6E" w:rsidRDefault="00BB4B68" w:rsidP="00FA7F6B">
            <w:pPr>
              <w:rPr>
                <w:szCs w:val="20"/>
                <w:lang w:val="en-US"/>
              </w:rPr>
            </w:pPr>
          </w:p>
        </w:tc>
        <w:tc>
          <w:tcPr>
            <w:tcW w:w="7401" w:type="dxa"/>
          </w:tcPr>
          <w:p w14:paraId="77E19296" w14:textId="77777777" w:rsidR="00BB4B68" w:rsidRPr="001C4C6E" w:rsidRDefault="00BB4B68" w:rsidP="00FA7F6B">
            <w:pPr>
              <w:ind w:left="116"/>
              <w:rPr>
                <w:szCs w:val="20"/>
                <w:lang w:val="en-US"/>
              </w:rPr>
            </w:pPr>
          </w:p>
        </w:tc>
        <w:tc>
          <w:tcPr>
            <w:tcW w:w="997" w:type="dxa"/>
          </w:tcPr>
          <w:p w14:paraId="23C17111" w14:textId="77777777" w:rsidR="00BB4B68" w:rsidRPr="001C4C6E" w:rsidRDefault="00BB4B68" w:rsidP="00FA7F6B">
            <w:pPr>
              <w:ind w:left="116"/>
              <w:rPr>
                <w:szCs w:val="20"/>
                <w:lang w:val="en-US"/>
              </w:rPr>
            </w:pPr>
          </w:p>
        </w:tc>
      </w:tr>
    </w:tbl>
    <w:p w14:paraId="667DA726" w14:textId="77777777" w:rsidR="00BB4B68" w:rsidRPr="001C4C6E" w:rsidRDefault="00BB4B68" w:rsidP="00BB4B68">
      <w:pPr>
        <w:rPr>
          <w:lang w:val="en-US"/>
        </w:rPr>
      </w:pPr>
      <w:r w:rsidRPr="001C4C6E">
        <w:rPr>
          <w:lang w:val="en-US"/>
        </w:rPr>
        <w:br w:type="page"/>
      </w:r>
    </w:p>
    <w:p w14:paraId="714F1407" w14:textId="77777777" w:rsidR="00527DA2" w:rsidRPr="009C1EF8" w:rsidRDefault="00077D6E" w:rsidP="009C1EF8">
      <w:pPr>
        <w:pStyle w:val="Heading1"/>
        <w:numPr>
          <w:ilvl w:val="0"/>
          <w:numId w:val="26"/>
        </w:numPr>
      </w:pPr>
      <w:bookmarkStart w:id="2" w:name="_Toc487589359"/>
      <w:r w:rsidRPr="009C1EF8">
        <w:lastRenderedPageBreak/>
        <w:t>Country Context</w:t>
      </w:r>
      <w:bookmarkEnd w:id="2"/>
    </w:p>
    <w:p w14:paraId="01C035B3" w14:textId="77777777" w:rsidR="00721656" w:rsidRDefault="00721656">
      <w:pPr>
        <w:rPr>
          <w:lang w:val="en-US"/>
        </w:rPr>
      </w:pPr>
    </w:p>
    <w:p w14:paraId="45D8CFE5" w14:textId="457676EB" w:rsidR="00721656" w:rsidRDefault="00721656">
      <w:pPr>
        <w:rPr>
          <w:lang w:val="en-US"/>
        </w:rPr>
      </w:pPr>
      <w:r>
        <w:rPr>
          <w:lang w:val="en-US"/>
        </w:rPr>
        <w:t xml:space="preserve">As the smallest sovereign state in South America, with a total population of approximately </w:t>
      </w:r>
      <w:r w:rsidR="00B84901" w:rsidRPr="00B84901">
        <w:rPr>
          <w:lang w:val="en-US"/>
        </w:rPr>
        <w:t>541,638</w:t>
      </w:r>
      <w:r w:rsidR="00B84901" w:rsidRPr="003D7A61">
        <w:rPr>
          <w:lang w:val="en-US"/>
        </w:rPr>
        <w:t xml:space="preserve"> </w:t>
      </w:r>
      <w:r w:rsidR="00B84901" w:rsidRPr="00B84901">
        <w:rPr>
          <w:lang w:val="en-US"/>
        </w:rPr>
        <w:t>(Census</w:t>
      </w:r>
      <w:r w:rsidRPr="00B84901">
        <w:rPr>
          <w:lang w:val="en-US"/>
        </w:rPr>
        <w:t xml:space="preserve"> 20</w:t>
      </w:r>
      <w:r w:rsidR="00B84901" w:rsidRPr="00B84901">
        <w:rPr>
          <w:lang w:val="en-US"/>
        </w:rPr>
        <w:t>12</w:t>
      </w:r>
      <w:r w:rsidRPr="00B84901">
        <w:rPr>
          <w:lang w:val="en-US"/>
        </w:rPr>
        <w:t xml:space="preserve">), Suriname </w:t>
      </w:r>
      <w:r w:rsidR="00CC3139" w:rsidRPr="00B84901">
        <w:rPr>
          <w:lang w:val="en-US"/>
        </w:rPr>
        <w:t>is considered to be a 'High Forest Cover- Low Deforestation Rate' country</w:t>
      </w:r>
      <w:r w:rsidR="00CC3139" w:rsidRPr="00CC3139">
        <w:rPr>
          <w:lang w:val="en-US"/>
        </w:rPr>
        <w:t xml:space="preserve"> </w:t>
      </w:r>
      <w:r w:rsidRPr="00721656">
        <w:rPr>
          <w:lang w:val="en-US"/>
        </w:rPr>
        <w:t>ha</w:t>
      </w:r>
      <w:r w:rsidR="00CC3139">
        <w:rPr>
          <w:lang w:val="en-US"/>
        </w:rPr>
        <w:t>ving</w:t>
      </w:r>
      <w:r w:rsidRPr="00721656">
        <w:rPr>
          <w:lang w:val="en-US"/>
        </w:rPr>
        <w:t xml:space="preserve"> a tropical climate with abundant rainfall, a uniform temperature, and high humidity.</w:t>
      </w:r>
    </w:p>
    <w:p w14:paraId="05E240E6" w14:textId="6EFBB12B" w:rsidR="00C53737" w:rsidRDefault="00721656" w:rsidP="00721656">
      <w:pPr>
        <w:rPr>
          <w:lang w:val="en-US"/>
        </w:rPr>
      </w:pPr>
      <w:r>
        <w:rPr>
          <w:lang w:val="en-US"/>
        </w:rPr>
        <w:t xml:space="preserve">With a population growth of approximately 1% per year, </w:t>
      </w:r>
      <w:r w:rsidR="004A6D79">
        <w:rPr>
          <w:lang w:val="en-US"/>
        </w:rPr>
        <w:t>60</w:t>
      </w:r>
      <w:r>
        <w:rPr>
          <w:lang w:val="en-US"/>
        </w:rPr>
        <w:t xml:space="preserve">% of the total population lives in the urban area, </w:t>
      </w:r>
      <w:r w:rsidRPr="00721656">
        <w:rPr>
          <w:lang w:val="en-US"/>
        </w:rPr>
        <w:t xml:space="preserve">30% in rural areas and the remaining 10% lives in the interior. </w:t>
      </w:r>
      <w:r w:rsidR="004A6D79" w:rsidRPr="004A6D79">
        <w:rPr>
          <w:lang w:val="en-US"/>
        </w:rPr>
        <w:t>Suriname is by far one of the least densely populated countries in the world with just 3 people per square kilometer (7/sq mi), which ranks 231st in the world.</w:t>
      </w:r>
      <w:r w:rsidR="007476F3">
        <w:rPr>
          <w:lang w:val="en-US"/>
        </w:rPr>
        <w:t xml:space="preserve"> </w:t>
      </w:r>
      <w:r w:rsidR="006D2727" w:rsidRPr="006D2727">
        <w:rPr>
          <w:lang w:val="en-US"/>
        </w:rPr>
        <w:t xml:space="preserve">The </w:t>
      </w:r>
      <w:r w:rsidR="007476F3">
        <w:rPr>
          <w:lang w:val="en-US"/>
        </w:rPr>
        <w:t xml:space="preserve">population is growing: </w:t>
      </w:r>
      <w:r w:rsidR="00F066C8">
        <w:rPr>
          <w:lang w:val="en-US"/>
        </w:rPr>
        <w:t xml:space="preserve">the expectation </w:t>
      </w:r>
      <w:r w:rsidR="007476F3">
        <w:rPr>
          <w:lang w:val="en-US"/>
        </w:rPr>
        <w:t xml:space="preserve">by 2030 </w:t>
      </w:r>
      <w:r w:rsidR="006D2727" w:rsidRPr="006D2727">
        <w:rPr>
          <w:lang w:val="en-US"/>
        </w:rPr>
        <w:t xml:space="preserve">is </w:t>
      </w:r>
      <w:r w:rsidR="00F066C8">
        <w:rPr>
          <w:lang w:val="en-US"/>
        </w:rPr>
        <w:t>a</w:t>
      </w:r>
      <w:r w:rsidR="006D2727" w:rsidRPr="006D2727">
        <w:rPr>
          <w:lang w:val="en-US"/>
        </w:rPr>
        <w:t xml:space="preserve"> grow</w:t>
      </w:r>
      <w:r w:rsidR="00F066C8">
        <w:rPr>
          <w:lang w:val="en-US"/>
        </w:rPr>
        <w:t>th</w:t>
      </w:r>
      <w:r w:rsidR="006D2727" w:rsidRPr="006D2727">
        <w:rPr>
          <w:lang w:val="en-US"/>
        </w:rPr>
        <w:t xml:space="preserve"> </w:t>
      </w:r>
      <w:r w:rsidR="00F066C8">
        <w:rPr>
          <w:lang w:val="en-US"/>
        </w:rPr>
        <w:t>to</w:t>
      </w:r>
      <w:r w:rsidR="006D2727" w:rsidRPr="006D2727">
        <w:rPr>
          <w:lang w:val="en-US"/>
        </w:rPr>
        <w:t xml:space="preserve"> 670,000 (UNDP, 2015). The median age – 29 years – is the same as that for the region. </w:t>
      </w:r>
      <w:r w:rsidR="00F066C8">
        <w:rPr>
          <w:lang w:val="en-US"/>
        </w:rPr>
        <w:t xml:space="preserve">According to the UN (UNDP, 2015), </w:t>
      </w:r>
      <w:r w:rsidR="006D2727" w:rsidRPr="006D2727">
        <w:rPr>
          <w:lang w:val="en-US"/>
        </w:rPr>
        <w:t>7.6 percent of the population suffers from multidimensional poverty.</w:t>
      </w:r>
      <w:r w:rsidR="004A6D79" w:rsidRPr="004A6D79">
        <w:rPr>
          <w:lang w:val="en-US"/>
        </w:rPr>
        <w:t xml:space="preserve"> </w:t>
      </w:r>
    </w:p>
    <w:p w14:paraId="6B56BA61" w14:textId="78351953" w:rsidR="004A6D79" w:rsidRDefault="007476F3" w:rsidP="00F066C8">
      <w:pPr>
        <w:rPr>
          <w:lang w:val="en-US"/>
        </w:rPr>
      </w:pPr>
      <w:r w:rsidRPr="007476F3">
        <w:rPr>
          <w:lang w:val="en-US"/>
        </w:rPr>
        <w:t>Suriname can be characterized as an ethnically and religiously diverse society.</w:t>
      </w:r>
      <w:r w:rsidR="00F066C8">
        <w:rPr>
          <w:lang w:val="en-US"/>
        </w:rPr>
        <w:t xml:space="preserve"> </w:t>
      </w:r>
      <w:r w:rsidR="00F066C8" w:rsidRPr="00F066C8">
        <w:rPr>
          <w:lang w:val="en-US"/>
        </w:rPr>
        <w:t xml:space="preserve">The largest </w:t>
      </w:r>
      <w:r w:rsidR="00F066C8">
        <w:rPr>
          <w:lang w:val="en-US"/>
        </w:rPr>
        <w:t xml:space="preserve">ethnic groups </w:t>
      </w:r>
      <w:r w:rsidR="00F066C8" w:rsidRPr="00F066C8">
        <w:rPr>
          <w:lang w:val="en-US"/>
        </w:rPr>
        <w:t>are East Indians (37%)</w:t>
      </w:r>
      <w:r w:rsidR="00F066C8">
        <w:rPr>
          <w:lang w:val="en-US"/>
        </w:rPr>
        <w:t xml:space="preserve"> and </w:t>
      </w:r>
      <w:r w:rsidR="00F066C8" w:rsidRPr="00F066C8">
        <w:rPr>
          <w:lang w:val="en-US"/>
        </w:rPr>
        <w:t>Suriname Creoles (31%)</w:t>
      </w:r>
      <w:r w:rsidR="00F066C8">
        <w:rPr>
          <w:lang w:val="en-US"/>
        </w:rPr>
        <w:t>. They are followed by the Javanese (15%), t</w:t>
      </w:r>
      <w:r w:rsidR="00F066C8" w:rsidRPr="00F066C8">
        <w:rPr>
          <w:lang w:val="en-US"/>
        </w:rPr>
        <w:t>he Surinamese Maroons (10%)</w:t>
      </w:r>
      <w:r w:rsidR="00F066C8">
        <w:rPr>
          <w:lang w:val="en-US"/>
        </w:rPr>
        <w:t xml:space="preserve">, the </w:t>
      </w:r>
      <w:r w:rsidR="00F066C8" w:rsidRPr="00F066C8">
        <w:rPr>
          <w:lang w:val="en-US"/>
        </w:rPr>
        <w:t>Amerindians (3.7%)</w:t>
      </w:r>
      <w:r w:rsidR="00F066C8">
        <w:rPr>
          <w:lang w:val="en-US"/>
        </w:rPr>
        <w:t xml:space="preserve">, </w:t>
      </w:r>
      <w:r w:rsidR="00F066C8" w:rsidRPr="00F066C8">
        <w:rPr>
          <w:lang w:val="en-US"/>
        </w:rPr>
        <w:t>the Chinese,</w:t>
      </w:r>
      <w:r w:rsidR="00F066C8">
        <w:rPr>
          <w:lang w:val="en-US"/>
        </w:rPr>
        <w:t xml:space="preserve"> Europeans</w:t>
      </w:r>
      <w:r w:rsidR="00F066C8" w:rsidRPr="00F066C8">
        <w:rPr>
          <w:lang w:val="en-US"/>
        </w:rPr>
        <w:t xml:space="preserve"> and Brazilians, most of whom are gold miners.</w:t>
      </w:r>
    </w:p>
    <w:p w14:paraId="29AC630E" w14:textId="53E065EF" w:rsidR="00721656" w:rsidRDefault="00721656" w:rsidP="00721656">
      <w:pPr>
        <w:rPr>
          <w:lang w:val="en-US"/>
        </w:rPr>
      </w:pPr>
      <w:r w:rsidRPr="00721656">
        <w:rPr>
          <w:lang w:val="en-US"/>
        </w:rPr>
        <w:t xml:space="preserve">The physical and geographic make up of Surinamese society brings with it an array of complex issues related to land rights.  The government, particularly since 2000, has been taking steps to ensure inclusion of indigenous groups in the conversation on land rights. Thus, any effective policy changes that seek to meet international environmental commitments, which in so doing meet Suriname’s sustainable development goals, will have to engage marginalized and minority communities in a meaningful way. </w:t>
      </w:r>
    </w:p>
    <w:p w14:paraId="468C71CF" w14:textId="77777777" w:rsidR="00BB4B68" w:rsidRDefault="00BB4B68" w:rsidP="00721656">
      <w:pPr>
        <w:rPr>
          <w:lang w:val="en-US"/>
        </w:rPr>
      </w:pPr>
    </w:p>
    <w:p w14:paraId="72F32391" w14:textId="3B19F57A" w:rsidR="007476F3" w:rsidRPr="009C1EF8" w:rsidRDefault="007016E7" w:rsidP="009C1EF8">
      <w:pPr>
        <w:pStyle w:val="Heading2"/>
        <w:numPr>
          <w:ilvl w:val="1"/>
          <w:numId w:val="26"/>
        </w:numPr>
      </w:pPr>
      <w:bookmarkStart w:id="3" w:name="_Toc487589360"/>
      <w:r w:rsidRPr="009C1EF8">
        <w:t>Economy</w:t>
      </w:r>
      <w:bookmarkEnd w:id="3"/>
    </w:p>
    <w:p w14:paraId="7111851D" w14:textId="66D4B851" w:rsidR="006C689B" w:rsidRDefault="0053159A" w:rsidP="0053159A">
      <w:pPr>
        <w:rPr>
          <w:lang w:val="en-US"/>
        </w:rPr>
      </w:pPr>
      <w:r w:rsidRPr="00C53737">
        <w:rPr>
          <w:lang w:val="en-US"/>
        </w:rPr>
        <w:t xml:space="preserve">For the past few decennia </w:t>
      </w:r>
      <w:r w:rsidR="005726C4">
        <w:rPr>
          <w:lang w:val="en-US"/>
        </w:rPr>
        <w:t xml:space="preserve">the </w:t>
      </w:r>
      <w:r w:rsidRPr="00C53737">
        <w:rPr>
          <w:lang w:val="en-US"/>
        </w:rPr>
        <w:t>mining</w:t>
      </w:r>
      <w:r w:rsidR="005726C4">
        <w:rPr>
          <w:lang w:val="en-US"/>
        </w:rPr>
        <w:t xml:space="preserve"> industry, with exports of alumina, oil and gold,</w:t>
      </w:r>
      <w:r w:rsidRPr="00C53737">
        <w:rPr>
          <w:lang w:val="en-US"/>
        </w:rPr>
        <w:t xml:space="preserve"> has been the cornerstone of Suriname’s developing economy. </w:t>
      </w:r>
      <w:r w:rsidR="006C689B">
        <w:rPr>
          <w:lang w:val="en-US"/>
        </w:rPr>
        <w:t>After closing of the</w:t>
      </w:r>
      <w:r w:rsidR="00B409FE" w:rsidRPr="00B409FE">
        <w:rPr>
          <w:lang w:val="en-US"/>
        </w:rPr>
        <w:t xml:space="preserve"> Suriname Aluminum Company</w:t>
      </w:r>
      <w:r w:rsidR="006C689B">
        <w:rPr>
          <w:lang w:val="en-US"/>
        </w:rPr>
        <w:t xml:space="preserve"> </w:t>
      </w:r>
      <w:r w:rsidR="00B409FE">
        <w:rPr>
          <w:lang w:val="en-US"/>
        </w:rPr>
        <w:t>(</w:t>
      </w:r>
      <w:r w:rsidR="00327F4A">
        <w:rPr>
          <w:lang w:val="en-US"/>
        </w:rPr>
        <w:t>a subsidiary of ALCOA</w:t>
      </w:r>
      <w:r w:rsidR="00B409FE">
        <w:rPr>
          <w:lang w:val="en-US"/>
        </w:rPr>
        <w:t>)</w:t>
      </w:r>
      <w:r w:rsidR="006C689B">
        <w:rPr>
          <w:lang w:val="en-US"/>
        </w:rPr>
        <w:t xml:space="preserve"> </w:t>
      </w:r>
      <w:r w:rsidR="00B409FE" w:rsidRPr="00B84901">
        <w:rPr>
          <w:lang w:val="en-US"/>
        </w:rPr>
        <w:t>in 201</w:t>
      </w:r>
      <w:r w:rsidR="00327F4A" w:rsidRPr="00B84901">
        <w:rPr>
          <w:lang w:val="en-US"/>
        </w:rPr>
        <w:t>5</w:t>
      </w:r>
      <w:r w:rsidR="00B84901">
        <w:rPr>
          <w:rStyle w:val="FootnoteReference"/>
          <w:lang w:val="en-US"/>
        </w:rPr>
        <w:footnoteReference w:id="1"/>
      </w:r>
      <w:r w:rsidR="00B84901">
        <w:rPr>
          <w:lang w:val="en-US"/>
        </w:rPr>
        <w:t>,</w:t>
      </w:r>
      <w:r w:rsidR="00B409FE" w:rsidRPr="00B409FE">
        <w:rPr>
          <w:lang w:val="en-US"/>
        </w:rPr>
        <w:t xml:space="preserve"> </w:t>
      </w:r>
      <w:r w:rsidR="005726C4">
        <w:rPr>
          <w:lang w:val="en-US"/>
        </w:rPr>
        <w:t xml:space="preserve">the export of mining products are now oil and gold, </w:t>
      </w:r>
      <w:r w:rsidR="005726C4" w:rsidRPr="005726C4">
        <w:rPr>
          <w:lang w:val="en-US"/>
        </w:rPr>
        <w:t>making the economy highly vulnerable to mineral price volatility</w:t>
      </w:r>
      <w:r w:rsidR="005726C4">
        <w:rPr>
          <w:lang w:val="en-US"/>
        </w:rPr>
        <w:t>.</w:t>
      </w:r>
    </w:p>
    <w:p w14:paraId="7BC6E642" w14:textId="7802AC7A" w:rsidR="007476F3" w:rsidRDefault="002B3FE9" w:rsidP="0053159A">
      <w:pPr>
        <w:rPr>
          <w:lang w:val="en-US"/>
        </w:rPr>
      </w:pPr>
      <w:r>
        <w:rPr>
          <w:lang w:val="en-US"/>
        </w:rPr>
        <w:t>The</w:t>
      </w:r>
      <w:r w:rsidR="005726C4">
        <w:rPr>
          <w:lang w:val="en-US"/>
        </w:rPr>
        <w:t xml:space="preserve"> m</w:t>
      </w:r>
      <w:r w:rsidR="0053159A">
        <w:rPr>
          <w:lang w:val="en-US"/>
        </w:rPr>
        <w:t>ining</w:t>
      </w:r>
      <w:r w:rsidR="005726C4">
        <w:rPr>
          <w:lang w:val="en-US"/>
        </w:rPr>
        <w:t xml:space="preserve"> sector</w:t>
      </w:r>
      <w:r w:rsidR="0053159A">
        <w:rPr>
          <w:lang w:val="en-US"/>
        </w:rPr>
        <w:t xml:space="preserve"> </w:t>
      </w:r>
      <w:r w:rsidR="0053159A" w:rsidRPr="00077D6E">
        <w:rPr>
          <w:lang w:val="en-US"/>
        </w:rPr>
        <w:t>has grown significantly over the last decade</w:t>
      </w:r>
      <w:r>
        <w:rPr>
          <w:lang w:val="en-US"/>
        </w:rPr>
        <w:t xml:space="preserve"> (especially gold mining)</w:t>
      </w:r>
      <w:r w:rsidR="0053159A">
        <w:rPr>
          <w:lang w:val="en-US"/>
        </w:rPr>
        <w:t xml:space="preserve"> and has </w:t>
      </w:r>
      <w:r w:rsidR="000B70A5">
        <w:rPr>
          <w:lang w:val="en-US"/>
        </w:rPr>
        <w:t>contributed significantly to</w:t>
      </w:r>
      <w:r w:rsidR="0053159A">
        <w:rPr>
          <w:lang w:val="en-US"/>
        </w:rPr>
        <w:t xml:space="preserve"> the Suriname economic as it contributes an</w:t>
      </w:r>
      <w:r w:rsidR="0053159A" w:rsidRPr="00077D6E">
        <w:rPr>
          <w:lang w:val="en-US"/>
        </w:rPr>
        <w:t xml:space="preserve"> </w:t>
      </w:r>
      <w:r w:rsidR="0053159A" w:rsidRPr="00364C06">
        <w:rPr>
          <w:lang w:val="en-US"/>
        </w:rPr>
        <w:t>estimated 1.62 billion USD in 2012 versus 34 million USD in 2000</w:t>
      </w:r>
      <w:r w:rsidR="003B1FF3">
        <w:rPr>
          <w:lang w:val="en-US"/>
        </w:rPr>
        <w:t>.</w:t>
      </w:r>
      <w:r w:rsidR="00E67D70" w:rsidRPr="00E67D70">
        <w:rPr>
          <w:lang w:val="en-US"/>
        </w:rPr>
        <w:t xml:space="preserve"> According to some estimates, small-scale gold mining may account for as much as 60 percent of Suriname’s total gold production.</w:t>
      </w:r>
      <w:r w:rsidR="003B1FF3">
        <w:rPr>
          <w:lang w:val="en-US"/>
        </w:rPr>
        <w:t xml:space="preserve"> However, </w:t>
      </w:r>
      <w:r w:rsidR="003B1FF3" w:rsidRPr="003B1FF3">
        <w:rPr>
          <w:lang w:val="en-US"/>
        </w:rPr>
        <w:t>the sector provides only about 3% of total employment by 2013. Thus, the future development impact of mining may be limited, owing to the fact that mine-related activities are enclaves and as such the economic spill-overs to the rest of the domestic economy, especially in terms of employment, are small</w:t>
      </w:r>
      <w:r w:rsidR="003B1FF3">
        <w:rPr>
          <w:lang w:val="en-US"/>
        </w:rPr>
        <w:t xml:space="preserve"> (IDB, 2014)</w:t>
      </w:r>
      <w:r w:rsidR="003B1FF3" w:rsidRPr="003B1FF3">
        <w:rPr>
          <w:lang w:val="en-US"/>
        </w:rPr>
        <w:t>. The impact of the mining sector is reflected in the employment of a small number of people in services such as transportation and food services. Thus Suriname unfortunately appears to conform to the traditional view of enclaves, in which large investments in mining do not generate significant backward or forward linkages within the domestic economy (Hojman, 1983).</w:t>
      </w:r>
    </w:p>
    <w:p w14:paraId="3DC234EB" w14:textId="7E2BC4D8" w:rsidR="0053159A" w:rsidRPr="00707D7F" w:rsidRDefault="00707D7F" w:rsidP="0053159A">
      <w:pPr>
        <w:rPr>
          <w:lang w:val="en-US"/>
        </w:rPr>
      </w:pPr>
      <w:r w:rsidRPr="00B84901">
        <w:rPr>
          <w:lang w:val="en-US"/>
        </w:rPr>
        <w:t xml:space="preserve">According to </w:t>
      </w:r>
      <w:r w:rsidR="00B84901" w:rsidRPr="00B84901">
        <w:rPr>
          <w:lang w:val="en-US"/>
        </w:rPr>
        <w:t>the Worldbank,</w:t>
      </w:r>
      <w:r w:rsidR="00B84901">
        <w:rPr>
          <w:lang w:val="en-US"/>
        </w:rPr>
        <w:t xml:space="preserve"> </w:t>
      </w:r>
      <w:r w:rsidR="00B84901" w:rsidRPr="00B84901">
        <w:rPr>
          <w:lang w:val="en-US"/>
        </w:rPr>
        <w:t>e</w:t>
      </w:r>
      <w:r w:rsidR="0053159A" w:rsidRPr="00B84901">
        <w:rPr>
          <w:lang w:val="en-US"/>
        </w:rPr>
        <w:t>conomic growth declined annually from just under 5% in 2012 to -7% in</w:t>
      </w:r>
      <w:r w:rsidR="0053159A" w:rsidRPr="00707D7F">
        <w:rPr>
          <w:lang w:val="en-US"/>
        </w:rPr>
        <w:t xml:space="preserve"> 2016. In January 2011, the government devalued the currency by 20% and raised taxes to reduce </w:t>
      </w:r>
      <w:r w:rsidR="0053159A" w:rsidRPr="00707D7F">
        <w:rPr>
          <w:lang w:val="en-US"/>
        </w:rPr>
        <w:lastRenderedPageBreak/>
        <w:t>the budget deficit. As a result of these measures</w:t>
      </w:r>
      <w:r w:rsidR="005726C4" w:rsidRPr="00707D7F">
        <w:rPr>
          <w:lang w:val="en-US"/>
        </w:rPr>
        <w:t xml:space="preserve"> among others</w:t>
      </w:r>
      <w:r w:rsidR="0053159A" w:rsidRPr="00707D7F">
        <w:rPr>
          <w:lang w:val="en-US"/>
        </w:rPr>
        <w:t>, inflation receded to less than 4% in 2015. However, with the exchange rate plummeting, inflation climbed to 39% in 2016</w:t>
      </w:r>
      <w:r w:rsidR="00B84901">
        <w:rPr>
          <w:lang w:val="en-US"/>
        </w:rPr>
        <w:t>.</w:t>
      </w:r>
    </w:p>
    <w:p w14:paraId="5E74FEB9" w14:textId="77777777" w:rsidR="0053159A" w:rsidRDefault="0053159A" w:rsidP="0053159A">
      <w:pPr>
        <w:rPr>
          <w:lang w:val="en-US"/>
        </w:rPr>
      </w:pPr>
      <w:r w:rsidRPr="00707D7F">
        <w:rPr>
          <w:lang w:val="en-US"/>
        </w:rPr>
        <w:t>Suriname's economic prospects for the medium term will depend on continued commitment to responsible monetary and fiscal policies and to the introduction of structural reforms to liberalize markets and promote competition. The government's reliance on revenue from extractive industries will temper Suriname's economic outlook, especially if gold prices continue their downward trend.</w:t>
      </w:r>
    </w:p>
    <w:p w14:paraId="214FCA6F" w14:textId="77777777" w:rsidR="00707D7F" w:rsidRDefault="00707D7F" w:rsidP="0053159A">
      <w:pPr>
        <w:rPr>
          <w:lang w:val="en-US"/>
        </w:rPr>
      </w:pPr>
    </w:p>
    <w:p w14:paraId="0DC60BCD" w14:textId="5EF64CC4" w:rsidR="007016E7" w:rsidRPr="009C1EF8" w:rsidRDefault="007016E7" w:rsidP="009C1EF8">
      <w:pPr>
        <w:pStyle w:val="Heading1"/>
        <w:numPr>
          <w:ilvl w:val="0"/>
          <w:numId w:val="26"/>
        </w:numPr>
      </w:pPr>
      <w:bookmarkStart w:id="4" w:name="_Toc487589361"/>
      <w:r w:rsidRPr="009C1EF8">
        <w:t>Sector context: ASGM in Suriname</w:t>
      </w:r>
      <w:bookmarkEnd w:id="4"/>
    </w:p>
    <w:p w14:paraId="675C639E" w14:textId="309E92AD" w:rsidR="00707D7F" w:rsidRDefault="007E5561" w:rsidP="000B70A5">
      <w:pPr>
        <w:rPr>
          <w:lang w:val="en-US"/>
        </w:rPr>
      </w:pPr>
      <w:r w:rsidRPr="007016E7">
        <w:rPr>
          <w:lang w:val="en-US"/>
        </w:rPr>
        <w:t>Suriname’s gold deposits are part of the Guyana shield, a geological formation that stretches out</w:t>
      </w:r>
      <w:r w:rsidRPr="00BC58CF">
        <w:rPr>
          <w:lang w:val="en-US"/>
        </w:rPr>
        <w:t xml:space="preserve"> across</w:t>
      </w:r>
      <w:r>
        <w:rPr>
          <w:lang w:val="en-US"/>
        </w:rPr>
        <w:t xml:space="preserve"> </w:t>
      </w:r>
      <w:r w:rsidRPr="00BC58CF">
        <w:rPr>
          <w:lang w:val="en-US"/>
        </w:rPr>
        <w:t>415,000 km2 of Venezuela, the Guyanas, and Brazil (Heemskerk 2009).</w:t>
      </w:r>
      <w:r>
        <w:rPr>
          <w:lang w:val="en-US"/>
        </w:rPr>
        <w:t xml:space="preserve"> </w:t>
      </w:r>
      <w:r w:rsidR="00707D7F" w:rsidRPr="00707D7F">
        <w:rPr>
          <w:lang w:val="en-US"/>
        </w:rPr>
        <w:t>Suriname’s abundant gold resources have attracted a large number of illegal miners.</w:t>
      </w:r>
      <w:r w:rsidR="00112507" w:rsidRPr="00112507">
        <w:rPr>
          <w:lang w:val="en-US"/>
        </w:rPr>
        <w:t xml:space="preserve"> The overall impact of informal mi</w:t>
      </w:r>
      <w:r w:rsidR="00A95558">
        <w:rPr>
          <w:lang w:val="en-US"/>
        </w:rPr>
        <w:t>ning on development is negative:</w:t>
      </w:r>
      <w:r w:rsidR="00112507" w:rsidRPr="00112507">
        <w:rPr>
          <w:lang w:val="en-US"/>
        </w:rPr>
        <w:t xml:space="preserve"> </w:t>
      </w:r>
      <w:r w:rsidR="00112507">
        <w:rPr>
          <w:lang w:val="en-US"/>
        </w:rPr>
        <w:t xml:space="preserve">it </w:t>
      </w:r>
      <w:r w:rsidR="00112507" w:rsidRPr="00112507">
        <w:rPr>
          <w:lang w:val="en-US"/>
        </w:rPr>
        <w:t>i</w:t>
      </w:r>
      <w:r w:rsidR="00112507">
        <w:rPr>
          <w:lang w:val="en-US"/>
        </w:rPr>
        <w:t>s a key environmental challenge as</w:t>
      </w:r>
      <w:r w:rsidR="00112507" w:rsidRPr="00112507">
        <w:rPr>
          <w:lang w:val="en-US"/>
        </w:rPr>
        <w:t xml:space="preserve"> it is leading to deforestation, mercury contamination and the pollution of inland waterways</w:t>
      </w:r>
      <w:r w:rsidR="00A95558">
        <w:rPr>
          <w:lang w:val="en-US"/>
        </w:rPr>
        <w:t>.</w:t>
      </w:r>
    </w:p>
    <w:p w14:paraId="3CE24ED9" w14:textId="0D713339" w:rsidR="00616AD8" w:rsidRDefault="00A95558" w:rsidP="000B70A5">
      <w:pPr>
        <w:rPr>
          <w:lang w:val="en-US"/>
        </w:rPr>
      </w:pPr>
      <w:r w:rsidRPr="00A95558">
        <w:rPr>
          <w:lang w:val="en-US"/>
        </w:rPr>
        <w:t>The majority of the miners and mining service providers (65 to 75 Percent) are international migrants, mostly Brazilians (Garimpeiros). The remaining inhabitants of mining areas are primarily Suriname Maroons, tribal peoples of African descent, and a small number of Amerindians, who inhabit Suriname’s forested interior.</w:t>
      </w:r>
      <w:r w:rsidR="00DA262B" w:rsidRPr="00DA262B">
        <w:rPr>
          <w:lang w:val="en-US"/>
        </w:rPr>
        <w:t xml:space="preserve"> </w:t>
      </w:r>
    </w:p>
    <w:p w14:paraId="2D4F8F0F" w14:textId="1C2D35AF" w:rsidR="00616AD8" w:rsidRDefault="00616AD8" w:rsidP="000B70A5">
      <w:pPr>
        <w:rPr>
          <w:lang w:val="en-US"/>
        </w:rPr>
      </w:pPr>
      <w:r w:rsidRPr="00B84901">
        <w:rPr>
          <w:lang w:val="en-US"/>
        </w:rPr>
        <w:t>It is unclear how many people are employed in the domestic ASM sector, due to the widespread informal nature of the work, however estimates put that figure at 60,000 miners. There are 17,000 officially registered ASM gold miners, of which 11,000 are nationals (CIRDI, 2016). A large portion of the ASM workforce is made up of migrants, particularly from Brazil</w:t>
      </w:r>
      <w:r w:rsidR="00B84901" w:rsidRPr="00B84901">
        <w:rPr>
          <w:rStyle w:val="FootnoteReference"/>
          <w:lang w:val="en-US"/>
        </w:rPr>
        <w:footnoteReference w:id="2"/>
      </w:r>
      <w:r w:rsidRPr="00B84901">
        <w:rPr>
          <w:lang w:val="en-US"/>
        </w:rPr>
        <w:t>.</w:t>
      </w:r>
    </w:p>
    <w:p w14:paraId="19D562F7" w14:textId="602FF0A3" w:rsidR="00707D7F" w:rsidRDefault="00DA262B" w:rsidP="000B70A5">
      <w:pPr>
        <w:rPr>
          <w:lang w:val="en-US"/>
        </w:rPr>
      </w:pPr>
      <w:r w:rsidRPr="00DA262B">
        <w:rPr>
          <w:lang w:val="en-US"/>
        </w:rPr>
        <w:t>Even though the Garimpeiros and Maroons dominate the small-scale gold mining sector, most concessions are in hands of the urban political and economic elite. These concessions include areas that Maroons traditionally consider as their tribal home lands, to which they claim customary rights</w:t>
      </w:r>
      <w:r>
        <w:rPr>
          <w:lang w:val="en-US"/>
        </w:rPr>
        <w:t xml:space="preserve"> (Social Solution, 2016)</w:t>
      </w:r>
      <w:r w:rsidRPr="00DA262B">
        <w:rPr>
          <w:lang w:val="en-US"/>
        </w:rPr>
        <w:t>.</w:t>
      </w:r>
    </w:p>
    <w:p w14:paraId="541CF09B" w14:textId="31C3D33A" w:rsidR="007E5561" w:rsidRDefault="007E5561" w:rsidP="00031D81">
      <w:pPr>
        <w:rPr>
          <w:lang w:val="en-US"/>
        </w:rPr>
      </w:pPr>
      <w:r>
        <w:rPr>
          <w:lang w:val="en-US"/>
        </w:rPr>
        <w:t xml:space="preserve">Most </w:t>
      </w:r>
      <w:r w:rsidR="004F2890">
        <w:rPr>
          <w:lang w:val="en-US"/>
        </w:rPr>
        <w:t>small-scale</w:t>
      </w:r>
      <w:r>
        <w:rPr>
          <w:lang w:val="en-US"/>
        </w:rPr>
        <w:t xml:space="preserve"> gold mining activities takes place in the eastern area of Suriname near the border with French-Guyana.</w:t>
      </w:r>
      <w:r w:rsidRPr="007E5561">
        <w:rPr>
          <w:lang w:val="en-US"/>
        </w:rPr>
        <w:t xml:space="preserve"> Communities in this part of the country are mainly populated by Maroons. In addition, the region houses a smaller number of indigenous communities. </w:t>
      </w:r>
      <w:r>
        <w:rPr>
          <w:lang w:val="en-US"/>
        </w:rPr>
        <w:t>Most of the Maroons in this area w</w:t>
      </w:r>
      <w:r w:rsidRPr="007E5561">
        <w:rPr>
          <w:lang w:val="en-US"/>
        </w:rPr>
        <w:t>ork as small-scale gold miners and</w:t>
      </w:r>
      <w:r>
        <w:rPr>
          <w:lang w:val="en-US"/>
        </w:rPr>
        <w:t>/or</w:t>
      </w:r>
      <w:r w:rsidRPr="007E5561">
        <w:rPr>
          <w:lang w:val="en-US"/>
        </w:rPr>
        <w:t xml:space="preserve"> are</w:t>
      </w:r>
      <w:r>
        <w:rPr>
          <w:lang w:val="en-US"/>
        </w:rPr>
        <w:t xml:space="preserve"> </w:t>
      </w:r>
      <w:r w:rsidRPr="007E5561">
        <w:rPr>
          <w:lang w:val="en-US"/>
        </w:rPr>
        <w:t xml:space="preserve">active in the mining service economy, selling goods and services to the miners. </w:t>
      </w:r>
      <w:r w:rsidR="00031D81">
        <w:rPr>
          <w:lang w:val="en-US"/>
        </w:rPr>
        <w:t>Even though</w:t>
      </w:r>
      <w:r w:rsidRPr="007E5561">
        <w:rPr>
          <w:lang w:val="en-US"/>
        </w:rPr>
        <w:t xml:space="preserve"> community members profit indirectly from the increased economic activity and money circulation in the villages</w:t>
      </w:r>
      <w:r w:rsidR="00031D81">
        <w:rPr>
          <w:lang w:val="en-US"/>
        </w:rPr>
        <w:t xml:space="preserve">, </w:t>
      </w:r>
      <w:r w:rsidR="00031D81" w:rsidRPr="007E5561">
        <w:rPr>
          <w:lang w:val="en-US"/>
        </w:rPr>
        <w:t xml:space="preserve">the Maroon population </w:t>
      </w:r>
      <w:r w:rsidR="00031D81">
        <w:rPr>
          <w:lang w:val="en-US"/>
        </w:rPr>
        <w:t>o</w:t>
      </w:r>
      <w:r w:rsidR="00031D81" w:rsidRPr="007E5561">
        <w:rPr>
          <w:lang w:val="en-US"/>
        </w:rPr>
        <w:t>f the rural interior lags behind because of lower educational attainment and contraceptive use, higher malnutrition, and significantly less access to electricity, potable water, sanitation, infrastructure, and health care</w:t>
      </w:r>
      <w:r w:rsidR="00031D81">
        <w:rPr>
          <w:lang w:val="en-US"/>
        </w:rPr>
        <w:t xml:space="preserve"> (IDB, 2014). </w:t>
      </w:r>
      <w:r w:rsidRPr="007E5561">
        <w:rPr>
          <w:lang w:val="en-US"/>
        </w:rPr>
        <w:t xml:space="preserve"> The indigenous peoples seldom work in small-scale gold mining though there are exceptions, particularly in areas where their communities are located in rich gold bearing zones.</w:t>
      </w:r>
    </w:p>
    <w:p w14:paraId="11F54E4A" w14:textId="77777777" w:rsidR="00031D81" w:rsidRDefault="00031D81" w:rsidP="00031D81">
      <w:pPr>
        <w:rPr>
          <w:lang w:val="en-US"/>
        </w:rPr>
      </w:pPr>
      <w:r>
        <w:rPr>
          <w:lang w:val="en-US"/>
        </w:rPr>
        <w:t>The mining sector is one of the major sectors (next to agriculture and in lesser extent forestry) of Suriname’</w:t>
      </w:r>
      <w:r w:rsidRPr="00721656">
        <w:rPr>
          <w:lang w:val="en-US"/>
        </w:rPr>
        <w:t xml:space="preserve">s economy that contribute to land degradation.  </w:t>
      </w:r>
      <w:r>
        <w:rPr>
          <w:lang w:val="en-US"/>
        </w:rPr>
        <w:t xml:space="preserve">According to a REDD+ report, </w:t>
      </w:r>
      <w:r w:rsidRPr="00C66DFA">
        <w:rPr>
          <w:lang w:val="en-US"/>
        </w:rPr>
        <w:t>gold mining induced deforestation in Suriname has doubled between 2008 and</w:t>
      </w:r>
      <w:r>
        <w:rPr>
          <w:lang w:val="en-US"/>
        </w:rPr>
        <w:t xml:space="preserve"> </w:t>
      </w:r>
      <w:r w:rsidRPr="00C66DFA">
        <w:rPr>
          <w:lang w:val="en-US"/>
        </w:rPr>
        <w:t>2014, as compared to the 2001-2008 period (+97%) (Rahm et al. 2015).</w:t>
      </w:r>
    </w:p>
    <w:p w14:paraId="06A82BEE" w14:textId="77777777" w:rsidR="00031D81" w:rsidRDefault="00031D81" w:rsidP="00031D81">
      <w:pPr>
        <w:rPr>
          <w:lang w:val="en-US"/>
        </w:rPr>
      </w:pPr>
    </w:p>
    <w:p w14:paraId="41F0F724" w14:textId="485ED889" w:rsidR="007E5561" w:rsidRDefault="007E5561" w:rsidP="007E5561">
      <w:pPr>
        <w:rPr>
          <w:lang w:val="en-US"/>
        </w:rPr>
      </w:pPr>
      <w:r>
        <w:rPr>
          <w:lang w:val="en-US"/>
        </w:rPr>
        <w:t xml:space="preserve">Heemskerk (2009) developed a (not official) map of the mining areas based on </w:t>
      </w:r>
      <w:r w:rsidR="00B84901">
        <w:rPr>
          <w:lang w:val="en-US"/>
        </w:rPr>
        <w:t>watersheds that</w:t>
      </w:r>
      <w:r>
        <w:rPr>
          <w:lang w:val="en-US"/>
        </w:rPr>
        <w:t xml:space="preserve"> gives a rather good overview of the ASGM scale in Suriname (figure </w:t>
      </w:r>
      <w:r w:rsidR="008E10ED">
        <w:rPr>
          <w:lang w:val="en-US"/>
        </w:rPr>
        <w:t>1</w:t>
      </w:r>
      <w:r>
        <w:rPr>
          <w:lang w:val="en-US"/>
        </w:rPr>
        <w:t xml:space="preserve">). </w:t>
      </w:r>
    </w:p>
    <w:p w14:paraId="544609CD" w14:textId="77777777" w:rsidR="007E5561" w:rsidRDefault="007E5561" w:rsidP="007E5561">
      <w:pPr>
        <w:rPr>
          <w:lang w:val="en-US"/>
        </w:rPr>
      </w:pPr>
      <w:r w:rsidRPr="00C66DFA">
        <w:rPr>
          <w:noProof/>
          <w:lang w:eastAsia="nl-NL"/>
        </w:rPr>
        <w:drawing>
          <wp:inline distT="0" distB="0" distL="0" distR="0" wp14:anchorId="09ECF636" wp14:editId="62AE202D">
            <wp:extent cx="3781425" cy="61046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2232" cy="6105957"/>
                    </a:xfrm>
                    <a:prstGeom prst="rect">
                      <a:avLst/>
                    </a:prstGeom>
                    <a:noFill/>
                    <a:ln>
                      <a:noFill/>
                    </a:ln>
                  </pic:spPr>
                </pic:pic>
              </a:graphicData>
            </a:graphic>
          </wp:inline>
        </w:drawing>
      </w:r>
    </w:p>
    <w:p w14:paraId="2A424F7C" w14:textId="7EB71980" w:rsidR="00707D7F" w:rsidRDefault="007016E7" w:rsidP="007016E7">
      <w:pPr>
        <w:pStyle w:val="Caption"/>
        <w:rPr>
          <w:lang w:val="en-US"/>
        </w:rPr>
      </w:pPr>
      <w:r w:rsidRPr="007016E7">
        <w:rPr>
          <w:lang w:val="en-US"/>
        </w:rPr>
        <w:t xml:space="preserve">Figure </w:t>
      </w:r>
      <w:r>
        <w:fldChar w:fldCharType="begin"/>
      </w:r>
      <w:r w:rsidRPr="007016E7">
        <w:rPr>
          <w:lang w:val="en-US"/>
        </w:rPr>
        <w:instrText xml:space="preserve"> SEQ Figure \* ARABIC </w:instrText>
      </w:r>
      <w:r>
        <w:fldChar w:fldCharType="separate"/>
      </w:r>
      <w:r w:rsidR="007441D5">
        <w:rPr>
          <w:noProof/>
          <w:lang w:val="en-US"/>
        </w:rPr>
        <w:t>1</w:t>
      </w:r>
      <w:r>
        <w:fldChar w:fldCharType="end"/>
      </w:r>
      <w:r w:rsidRPr="007016E7">
        <w:rPr>
          <w:lang w:val="en-US"/>
        </w:rPr>
        <w:t>: Map of ASGM sector in Suriname. Source: M. Heemskerk 2009</w:t>
      </w:r>
    </w:p>
    <w:p w14:paraId="2575F533" w14:textId="77777777" w:rsidR="0016710F" w:rsidRPr="0016710F" w:rsidRDefault="0016710F" w:rsidP="0016710F">
      <w:pPr>
        <w:rPr>
          <w:lang w:val="en-US"/>
        </w:rPr>
      </w:pPr>
      <w:r w:rsidRPr="0016710F">
        <w:rPr>
          <w:lang w:val="en-US"/>
        </w:rPr>
        <w:t xml:space="preserve">Most of the mainly illegal miners use large volumes of water and mercury. It has been estimated that each kilogram of gold recovered causes 1-3 kilos of mercury to be discharged to the environment.  </w:t>
      </w:r>
    </w:p>
    <w:p w14:paraId="621FD377" w14:textId="17412C48" w:rsidR="0016710F" w:rsidRDefault="0016710F" w:rsidP="0016710F">
      <w:pPr>
        <w:rPr>
          <w:lang w:val="en-US"/>
        </w:rPr>
      </w:pPr>
      <w:r w:rsidRPr="00B84901">
        <w:rPr>
          <w:lang w:val="en-US"/>
        </w:rPr>
        <w:t xml:space="preserve">Since 2003, the first large scale gold mine has operated in Suriname. At present, three large scale gold mines have been established: </w:t>
      </w:r>
      <w:r w:rsidR="00B84901" w:rsidRPr="00B84901">
        <w:rPr>
          <w:lang w:val="en-US"/>
        </w:rPr>
        <w:t>Rosebel Gold Mine, Merian Mine and Maripaston.</w:t>
      </w:r>
      <w:r w:rsidR="00B84901">
        <w:rPr>
          <w:lang w:val="en-US"/>
        </w:rPr>
        <w:t xml:space="preserve"> </w:t>
      </w:r>
    </w:p>
    <w:p w14:paraId="45BC5676" w14:textId="42CE78A2" w:rsidR="0016710F" w:rsidRPr="0016710F" w:rsidRDefault="0016710F" w:rsidP="0016710F">
      <w:pPr>
        <w:rPr>
          <w:lang w:val="en-US"/>
        </w:rPr>
      </w:pPr>
      <w:r>
        <w:rPr>
          <w:lang w:val="en-US"/>
        </w:rPr>
        <w:t>Local Maroon villagers consider these</w:t>
      </w:r>
      <w:r w:rsidRPr="0016710F">
        <w:rPr>
          <w:lang w:val="en-US"/>
        </w:rPr>
        <w:t xml:space="preserve"> mining concern</w:t>
      </w:r>
      <w:r>
        <w:rPr>
          <w:lang w:val="en-US"/>
        </w:rPr>
        <w:t xml:space="preserve">s a threat to their </w:t>
      </w:r>
      <w:r w:rsidRPr="0016710F">
        <w:rPr>
          <w:lang w:val="en-US"/>
        </w:rPr>
        <w:t>livelihood</w:t>
      </w:r>
      <w:r>
        <w:rPr>
          <w:lang w:val="en-US"/>
        </w:rPr>
        <w:t xml:space="preserve">, because of the </w:t>
      </w:r>
      <w:r w:rsidRPr="0016710F">
        <w:rPr>
          <w:lang w:val="en-US"/>
        </w:rPr>
        <w:t>competition for gold-rich land</w:t>
      </w:r>
      <w:r>
        <w:rPr>
          <w:lang w:val="en-US"/>
        </w:rPr>
        <w:t xml:space="preserve">. </w:t>
      </w:r>
      <w:r w:rsidRPr="0016710F">
        <w:rPr>
          <w:lang w:val="en-US"/>
        </w:rPr>
        <w:t xml:space="preserve">Small-scale gold-mining activities are mostly unrecorded. These operations include rudimentary prospecting techniques that utilize bulldozers, excavators, and metal </w:t>
      </w:r>
      <w:r w:rsidRPr="0016710F">
        <w:rPr>
          <w:lang w:val="en-US"/>
        </w:rPr>
        <w:lastRenderedPageBreak/>
        <w:t xml:space="preserve">detectors. These often illegal mining operations cause deforestation and loss of multiple benefits such as: biodiversity, arable land and aquatic life, as well as fragmentation of ecosystems and waterways.  </w:t>
      </w:r>
    </w:p>
    <w:p w14:paraId="654DB984" w14:textId="4E4181A4" w:rsidR="0016710F" w:rsidRDefault="0016710F" w:rsidP="0016710F">
      <w:pPr>
        <w:rPr>
          <w:lang w:val="en-US"/>
        </w:rPr>
      </w:pPr>
      <w:r>
        <w:rPr>
          <w:lang w:val="en-US"/>
        </w:rPr>
        <w:t>According to Duijves and Heemskerk (2014), a</w:t>
      </w:r>
      <w:r w:rsidRPr="0016710F">
        <w:rPr>
          <w:lang w:val="en-US"/>
        </w:rPr>
        <w:t>lmost all ASGMs use mercury during the mining process.</w:t>
      </w:r>
      <w:r>
        <w:rPr>
          <w:lang w:val="en-US"/>
        </w:rPr>
        <w:t xml:space="preserve"> </w:t>
      </w:r>
      <w:r w:rsidRPr="0016710F">
        <w:rPr>
          <w:lang w:val="en-US"/>
        </w:rPr>
        <w:t>The effects of the exorbitant use of mercury extend beyond the local mines to the coastal areas and leads to surface and ground water pollution causing damage to the entire food chain and both direct and indirect health hazards to fauna and humans.  The interior communities that largely depend on surface water and fish for protein are particularly affected</w:t>
      </w:r>
      <w:r w:rsidR="00311C2B">
        <w:rPr>
          <w:lang w:val="en-US"/>
        </w:rPr>
        <w:t xml:space="preserve"> (Social Solutions, 2016)</w:t>
      </w:r>
      <w:r w:rsidRPr="0016710F">
        <w:rPr>
          <w:lang w:val="en-US"/>
        </w:rPr>
        <w:t xml:space="preserve">.  </w:t>
      </w:r>
      <w:r w:rsidR="00DA305E" w:rsidRPr="00DA305E">
        <w:rPr>
          <w:lang w:val="en-US"/>
        </w:rPr>
        <w:t xml:space="preserve">The amount of mercury use and emissions in the country associated with ASGM operations is particularly poorly constrained. </w:t>
      </w:r>
      <w:r w:rsidR="00DA305E">
        <w:rPr>
          <w:lang w:val="en-US"/>
        </w:rPr>
        <w:t>According to Legg et al. (2015),</w:t>
      </w:r>
      <w:r w:rsidR="00DA305E" w:rsidRPr="00DA305E">
        <w:rPr>
          <w:lang w:val="en-US"/>
        </w:rPr>
        <w:t xml:space="preserve"> 28.5–57 tonnes of mercury may have been used in the Suriname ASGM sector in 2011</w:t>
      </w:r>
      <w:r w:rsidR="00DA305E">
        <w:rPr>
          <w:lang w:val="en-US"/>
        </w:rPr>
        <w:t>, but the data is outdated and most likely not accurate anymore (Social Solution).</w:t>
      </w:r>
    </w:p>
    <w:p w14:paraId="021FE12B" w14:textId="77777777" w:rsidR="006C602B" w:rsidRDefault="006C602B" w:rsidP="006C602B">
      <w:pPr>
        <w:rPr>
          <w:lang w:val="en-US"/>
        </w:rPr>
      </w:pPr>
      <w:r w:rsidRPr="00C543D4">
        <w:rPr>
          <w:lang w:val="en-US"/>
        </w:rPr>
        <w:t>The small-to-medium scale gold mining sector uses mercury to bind the gold for easy handling. This so called “gold-mercury amalgam” is burned in the open to separate the mercury from the gold. This gold is then sold to official gold buyers and the numerous jewelry shops in town where it is further purified, frequently with the use of mercury. There are public health concerns on the mercury emissions from this sector and a few initiatives have been taken to address these concerns.</w:t>
      </w:r>
    </w:p>
    <w:p w14:paraId="70D59EFF" w14:textId="77777777" w:rsidR="00DA305E" w:rsidRDefault="00DA305E" w:rsidP="0016710F">
      <w:pPr>
        <w:rPr>
          <w:lang w:val="en-US"/>
        </w:rPr>
      </w:pPr>
    </w:p>
    <w:p w14:paraId="7404A19E" w14:textId="6CF2BCCD" w:rsidR="00311C2B" w:rsidRPr="009C1EF8" w:rsidRDefault="00311C2B" w:rsidP="00AA15F8">
      <w:pPr>
        <w:pStyle w:val="Heading2"/>
        <w:numPr>
          <w:ilvl w:val="1"/>
          <w:numId w:val="26"/>
        </w:numPr>
      </w:pPr>
      <w:bookmarkStart w:id="5" w:name="_Toc487589362"/>
      <w:r w:rsidRPr="009C1EF8">
        <w:t>Law and regulations</w:t>
      </w:r>
      <w:bookmarkEnd w:id="5"/>
    </w:p>
    <w:p w14:paraId="208578D9" w14:textId="57E9068A" w:rsidR="00B809C9" w:rsidRDefault="00466B7C">
      <w:pPr>
        <w:rPr>
          <w:lang w:val="en-US"/>
        </w:rPr>
      </w:pPr>
      <w:r w:rsidRPr="00466B7C">
        <w:rPr>
          <w:lang w:val="en-US"/>
        </w:rPr>
        <w:t xml:space="preserve">From the paragraphs above, it is clear that Suriname is negatively affected and threatened by </w:t>
      </w:r>
      <w:r w:rsidR="00311C2B">
        <w:rPr>
          <w:lang w:val="en-US"/>
        </w:rPr>
        <w:t>the use of mercury during mining process</w:t>
      </w:r>
      <w:r w:rsidRPr="00466B7C">
        <w:rPr>
          <w:lang w:val="en-US"/>
        </w:rPr>
        <w:t xml:space="preserve">. Making the situation more challenging, a </w:t>
      </w:r>
      <w:r w:rsidR="0073324A" w:rsidRPr="00466B7C">
        <w:rPr>
          <w:lang w:val="en-US"/>
        </w:rPr>
        <w:t>so</w:t>
      </w:r>
      <w:r w:rsidR="0073324A">
        <w:rPr>
          <w:lang w:val="en-US"/>
        </w:rPr>
        <w:t>und</w:t>
      </w:r>
      <w:r w:rsidR="0073324A" w:rsidRPr="00466B7C">
        <w:rPr>
          <w:lang w:val="en-US"/>
        </w:rPr>
        <w:t xml:space="preserve"> </w:t>
      </w:r>
      <w:r w:rsidRPr="00466B7C">
        <w:rPr>
          <w:lang w:val="en-US"/>
        </w:rPr>
        <w:t xml:space="preserve">institutional framework is lacking, mandates in the public administration roles are unclear and there is currently no validated </w:t>
      </w:r>
      <w:r w:rsidR="00B809C9">
        <w:rPr>
          <w:lang w:val="en-US"/>
        </w:rPr>
        <w:t>mercury</w:t>
      </w:r>
      <w:r w:rsidRPr="00466B7C">
        <w:rPr>
          <w:lang w:val="en-US"/>
        </w:rPr>
        <w:t xml:space="preserve"> policy or strategy available. </w:t>
      </w:r>
    </w:p>
    <w:p w14:paraId="2485F8D5" w14:textId="077CCDDE" w:rsidR="00CF20D9" w:rsidRPr="00185D0C" w:rsidRDefault="00CF20D9" w:rsidP="00CF20D9">
      <w:pPr>
        <w:rPr>
          <w:lang w:val="en-US"/>
        </w:rPr>
      </w:pPr>
      <w:r w:rsidRPr="00185D0C">
        <w:rPr>
          <w:lang w:val="en-US"/>
        </w:rPr>
        <w:t>Around the mining sector, specifically, there</w:t>
      </w:r>
      <w:r w:rsidR="005104D0">
        <w:rPr>
          <w:lang w:val="en-US"/>
        </w:rPr>
        <w:t xml:space="preserve"> is</w:t>
      </w:r>
      <w:r w:rsidRPr="00185D0C">
        <w:rPr>
          <w:lang w:val="en-US"/>
        </w:rPr>
        <w:t xml:space="preserve"> a </w:t>
      </w:r>
      <w:r w:rsidR="00185D0C" w:rsidRPr="00185D0C">
        <w:rPr>
          <w:lang w:val="en-US"/>
        </w:rPr>
        <w:t>large</w:t>
      </w:r>
      <w:r w:rsidRPr="00185D0C">
        <w:rPr>
          <w:lang w:val="en-US"/>
        </w:rPr>
        <w:t xml:space="preserve"> array of missing framework and institutional strength in order to support such important sector to reduce/phase</w:t>
      </w:r>
      <w:r w:rsidR="00185D0C" w:rsidRPr="00185D0C">
        <w:rPr>
          <w:lang w:val="en-US"/>
        </w:rPr>
        <w:t xml:space="preserve"> </w:t>
      </w:r>
      <w:r w:rsidRPr="00185D0C">
        <w:rPr>
          <w:lang w:val="en-US"/>
        </w:rPr>
        <w:t>out the user of Mercury. There is also no comprehensive inventory and releases estimated that can be used as source for taking informed decisions.</w:t>
      </w:r>
    </w:p>
    <w:p w14:paraId="3C373312" w14:textId="5004A126" w:rsidR="00B809C9" w:rsidRDefault="00B809C9">
      <w:pPr>
        <w:rPr>
          <w:lang w:val="en-US"/>
        </w:rPr>
      </w:pPr>
      <w:r w:rsidRPr="00B809C9">
        <w:rPr>
          <w:lang w:val="en-US"/>
        </w:rPr>
        <w:t>Suriname does not have an umbrella Environmental Law. Environmental regulation is fragmented and specified per (economic or public) sector. A draft environmental law was presented to the Council of Ministers in 2002, but has never been adopted. A draft State Decree (Staatsbesluit) to regulate mercury is also awaiting approval by the Council of Ministers</w:t>
      </w:r>
      <w:r>
        <w:rPr>
          <w:lang w:val="en-US"/>
        </w:rPr>
        <w:t>.</w:t>
      </w:r>
    </w:p>
    <w:p w14:paraId="495F6B31" w14:textId="1F09F409" w:rsidR="00B809C9" w:rsidRDefault="00B809C9">
      <w:pPr>
        <w:rPr>
          <w:lang w:val="en-US"/>
        </w:rPr>
      </w:pPr>
      <w:r w:rsidRPr="00185D0C">
        <w:rPr>
          <w:lang w:val="en-US"/>
        </w:rPr>
        <w:t>According to NIMOS, there is no legal instrument that specifically mention</w:t>
      </w:r>
      <w:r w:rsidR="00077856">
        <w:rPr>
          <w:lang w:val="en-US"/>
        </w:rPr>
        <w:t>s</w:t>
      </w:r>
      <w:r w:rsidRPr="00B809C9">
        <w:rPr>
          <w:lang w:val="en-US"/>
        </w:rPr>
        <w:t xml:space="preserve"> mercury besides the government regulation Decision Negative List</w:t>
      </w:r>
      <w:r>
        <w:rPr>
          <w:rStyle w:val="FootnoteReference"/>
          <w:lang w:val="en-US"/>
        </w:rPr>
        <w:footnoteReference w:id="3"/>
      </w:r>
      <w:r w:rsidRPr="00B809C9">
        <w:rPr>
          <w:lang w:val="en-US"/>
        </w:rPr>
        <w:t>, which forms part of the law on the transportation of goods</w:t>
      </w:r>
      <w:r>
        <w:rPr>
          <w:rStyle w:val="FootnoteReference"/>
          <w:lang w:val="en-US"/>
        </w:rPr>
        <w:footnoteReference w:id="4"/>
      </w:r>
      <w:r w:rsidRPr="00B809C9">
        <w:rPr>
          <w:lang w:val="en-US"/>
        </w:rPr>
        <w:t>. Here mercury is listed with the items for which an import license is required. In addition, the Suriname legal framework contains no regulations about the sale of mercury.</w:t>
      </w:r>
    </w:p>
    <w:p w14:paraId="7871592B" w14:textId="1AC832BB" w:rsidR="006035E5" w:rsidRDefault="00B809C9">
      <w:pPr>
        <w:rPr>
          <w:lang w:val="en-US"/>
        </w:rPr>
      </w:pPr>
      <w:r>
        <w:rPr>
          <w:lang w:val="en-US"/>
        </w:rPr>
        <w:t xml:space="preserve">In order to achieve successful project results, </w:t>
      </w:r>
      <w:r w:rsidR="00466B7C" w:rsidRPr="00466B7C">
        <w:rPr>
          <w:lang w:val="en-US"/>
        </w:rPr>
        <w:t>coordination of project activities</w:t>
      </w:r>
      <w:r>
        <w:rPr>
          <w:lang w:val="en-US"/>
        </w:rPr>
        <w:t xml:space="preserve"> is important as this is currently lacking. </w:t>
      </w:r>
      <w:r w:rsidR="006035E5" w:rsidRPr="006035E5">
        <w:rPr>
          <w:lang w:val="en-US"/>
        </w:rPr>
        <w:t xml:space="preserve">Furthermore, staff capacity to address Mercury issues is fairly limited in addition to </w:t>
      </w:r>
      <w:r w:rsidR="006035E5" w:rsidRPr="00185D0C">
        <w:rPr>
          <w:lang w:val="en-US"/>
        </w:rPr>
        <w:t>awareness on issues such as gender sensitivity</w:t>
      </w:r>
      <w:r w:rsidR="00185D0C" w:rsidRPr="00185D0C">
        <w:rPr>
          <w:lang w:val="en-US"/>
        </w:rPr>
        <w:t xml:space="preserve"> and health issues</w:t>
      </w:r>
      <w:r w:rsidR="006035E5" w:rsidRPr="00185D0C">
        <w:rPr>
          <w:lang w:val="en-US"/>
        </w:rPr>
        <w:t>.</w:t>
      </w:r>
    </w:p>
    <w:p w14:paraId="51A8F6B2" w14:textId="6CDDFF1B" w:rsidR="006035E5" w:rsidRPr="00185D0C" w:rsidRDefault="006D4D8B">
      <w:pPr>
        <w:rPr>
          <w:lang w:val="en-US"/>
        </w:rPr>
      </w:pPr>
      <w:r w:rsidRPr="00185D0C">
        <w:rPr>
          <w:lang w:val="en-US"/>
        </w:rPr>
        <w:lastRenderedPageBreak/>
        <w:t>Challenges to the enforcement of government policy in mining areas include the remoteness of mining areas, high expenses of travel to the mining areas, the outdated mining law, and the personal interest of politicians in the mining sector</w:t>
      </w:r>
      <w:r w:rsidR="00185D0C" w:rsidRPr="00185D0C">
        <w:rPr>
          <w:rStyle w:val="CommentReference"/>
          <w:lang w:val="en-US"/>
        </w:rPr>
        <w:t>.</w:t>
      </w:r>
    </w:p>
    <w:p w14:paraId="24B97149" w14:textId="77777777" w:rsidR="006D4D8B" w:rsidRDefault="006D4D8B">
      <w:pPr>
        <w:rPr>
          <w:lang w:val="en-US"/>
        </w:rPr>
      </w:pPr>
    </w:p>
    <w:p w14:paraId="011DC0B7" w14:textId="6D76CAF9" w:rsidR="006035E5" w:rsidRPr="009C1EF8" w:rsidRDefault="006035E5" w:rsidP="00AA15F8">
      <w:pPr>
        <w:pStyle w:val="Heading2"/>
        <w:numPr>
          <w:ilvl w:val="1"/>
          <w:numId w:val="26"/>
        </w:numPr>
      </w:pPr>
      <w:bookmarkStart w:id="6" w:name="_Toc487589363"/>
      <w:r w:rsidRPr="009C1EF8">
        <w:t>Stakeholders initiatives</w:t>
      </w:r>
      <w:bookmarkEnd w:id="6"/>
    </w:p>
    <w:p w14:paraId="7F6E781F" w14:textId="3C2E1475" w:rsidR="00721656" w:rsidRDefault="00B809C9">
      <w:pPr>
        <w:rPr>
          <w:lang w:val="en-US"/>
        </w:rPr>
      </w:pPr>
      <w:r>
        <w:rPr>
          <w:lang w:val="en-US"/>
        </w:rPr>
        <w:t>Several stakeholders (</w:t>
      </w:r>
      <w:r w:rsidR="006035E5">
        <w:rPr>
          <w:lang w:val="en-US"/>
        </w:rPr>
        <w:t xml:space="preserve">such as </w:t>
      </w:r>
      <w:r>
        <w:rPr>
          <w:lang w:val="en-US"/>
        </w:rPr>
        <w:t>WWF, OGS</w:t>
      </w:r>
      <w:r w:rsidR="006035E5">
        <w:rPr>
          <w:lang w:val="en-US"/>
        </w:rPr>
        <w:t>, UNASAT</w:t>
      </w:r>
      <w:r>
        <w:rPr>
          <w:lang w:val="en-US"/>
        </w:rPr>
        <w:t xml:space="preserve">) are in the process </w:t>
      </w:r>
      <w:r w:rsidR="00E93611">
        <w:rPr>
          <w:lang w:val="en-US"/>
        </w:rPr>
        <w:t xml:space="preserve">trying to reduce or where possible eliminate </w:t>
      </w:r>
      <w:r>
        <w:rPr>
          <w:lang w:val="en-US"/>
        </w:rPr>
        <w:t xml:space="preserve">mercury </w:t>
      </w:r>
      <w:r w:rsidR="00E93611">
        <w:rPr>
          <w:lang w:val="en-US"/>
        </w:rPr>
        <w:t>use</w:t>
      </w:r>
      <w:r>
        <w:rPr>
          <w:lang w:val="en-US"/>
        </w:rPr>
        <w:t>.</w:t>
      </w:r>
      <w:r w:rsidR="006035E5" w:rsidRPr="006035E5">
        <w:rPr>
          <w:lang w:val="en-US"/>
        </w:rPr>
        <w:t xml:space="preserve"> These organisations range from small/medium-scale mining groups looking to maximize production while reducing negative environmental impacts (eg. Nana Resources and GRASSALCO), to educational organisations and small businesses looking to provide the expertise and machinery needed to reduce mercury usage while providing local economic benefits (eg. UNASAT, Lawa Star Industrial) (Social Solutions, 2016). The University of Applied Sciences and Technology (UNASAT) focuses (in collaboration with OGS) on capacity building in mercury free mining. OGS</w:t>
      </w:r>
      <w:r w:rsidR="006035E5">
        <w:rPr>
          <w:lang w:val="en-US"/>
        </w:rPr>
        <w:t xml:space="preserve">, </w:t>
      </w:r>
      <w:r w:rsidR="006035E5" w:rsidRPr="006035E5">
        <w:rPr>
          <w:lang w:val="en-US"/>
        </w:rPr>
        <w:t>not directly involved in mercury free mining projects</w:t>
      </w:r>
      <w:r w:rsidR="006035E5">
        <w:rPr>
          <w:lang w:val="en-US"/>
        </w:rPr>
        <w:t>,</w:t>
      </w:r>
      <w:r w:rsidR="006035E5" w:rsidRPr="006035E5">
        <w:rPr>
          <w:lang w:val="en-US"/>
        </w:rPr>
        <w:t xml:space="preserve"> supports this effort by making land available for field classes, by providing a mine inspector, and by providing security. </w:t>
      </w:r>
    </w:p>
    <w:p w14:paraId="68E65A3E" w14:textId="4B8723F6" w:rsidR="006035E5" w:rsidRDefault="006035E5" w:rsidP="006035E5">
      <w:pPr>
        <w:rPr>
          <w:lang w:val="en-US"/>
        </w:rPr>
      </w:pPr>
      <w:r w:rsidRPr="00185D0C">
        <w:rPr>
          <w:lang w:val="en-US"/>
        </w:rPr>
        <w:t>In different mining areas the Commission OGS has established Mining Service Centers (MSC). The</w:t>
      </w:r>
      <w:r w:rsidRPr="007907B9">
        <w:rPr>
          <w:lang w:val="en-US"/>
        </w:rPr>
        <w:t xml:space="preserve"> initial</w:t>
      </w:r>
      <w:r>
        <w:rPr>
          <w:lang w:val="en-US"/>
        </w:rPr>
        <w:t xml:space="preserve"> </w:t>
      </w:r>
      <w:r w:rsidRPr="007907B9">
        <w:rPr>
          <w:lang w:val="en-US"/>
        </w:rPr>
        <w:t>thought behind the MS</w:t>
      </w:r>
      <w:r w:rsidR="002B3FE9">
        <w:rPr>
          <w:lang w:val="en-US"/>
        </w:rPr>
        <w:t>C</w:t>
      </w:r>
      <w:r w:rsidRPr="007907B9">
        <w:rPr>
          <w:lang w:val="en-US"/>
        </w:rPr>
        <w:t xml:space="preserve"> was that at these locations, ASGM would be able to register and access services</w:t>
      </w:r>
      <w:r>
        <w:rPr>
          <w:lang w:val="en-US"/>
        </w:rPr>
        <w:t xml:space="preserve"> </w:t>
      </w:r>
      <w:r w:rsidRPr="007907B9">
        <w:rPr>
          <w:lang w:val="en-US"/>
        </w:rPr>
        <w:t>such as technical training, health services, and selling gold. The existing MS</w:t>
      </w:r>
      <w:r w:rsidR="002B3FE9">
        <w:rPr>
          <w:lang w:val="en-US"/>
        </w:rPr>
        <w:t>C</w:t>
      </w:r>
      <w:r w:rsidRPr="007907B9">
        <w:rPr>
          <w:lang w:val="en-US"/>
        </w:rPr>
        <w:t xml:space="preserve"> do house rotating OGS staff</w:t>
      </w:r>
      <w:r>
        <w:rPr>
          <w:lang w:val="en-US"/>
        </w:rPr>
        <w:t xml:space="preserve"> </w:t>
      </w:r>
      <w:r w:rsidRPr="007907B9">
        <w:rPr>
          <w:lang w:val="en-US"/>
        </w:rPr>
        <w:t>to keep an eye on ASGM activity. However, apart from a one-time visit from, for example, health workers</w:t>
      </w:r>
      <w:r>
        <w:rPr>
          <w:lang w:val="en-US"/>
        </w:rPr>
        <w:t xml:space="preserve"> </w:t>
      </w:r>
      <w:r w:rsidRPr="007907B9">
        <w:rPr>
          <w:lang w:val="en-US"/>
        </w:rPr>
        <w:t>from the Bureau of Public Health (Bureau Openbare Gezondheidszorg - BOG), the provision of services has</w:t>
      </w:r>
      <w:r>
        <w:rPr>
          <w:lang w:val="en-US"/>
        </w:rPr>
        <w:t xml:space="preserve"> </w:t>
      </w:r>
      <w:r w:rsidRPr="007907B9">
        <w:rPr>
          <w:lang w:val="en-US"/>
        </w:rPr>
        <w:t>been limited</w:t>
      </w:r>
      <w:r w:rsidR="00185D0C">
        <w:rPr>
          <w:lang w:val="en-US"/>
        </w:rPr>
        <w:t xml:space="preserve"> (Social Solutions, 2016)</w:t>
      </w:r>
      <w:r w:rsidRPr="007907B9">
        <w:rPr>
          <w:lang w:val="en-US"/>
        </w:rPr>
        <w:t>.</w:t>
      </w:r>
    </w:p>
    <w:p w14:paraId="52085A36" w14:textId="6DDADF0A" w:rsidR="006035E5" w:rsidRPr="00185D0C" w:rsidRDefault="006035E5" w:rsidP="006035E5">
      <w:pPr>
        <w:rPr>
          <w:color w:val="ED7D31" w:themeColor="accent2"/>
          <w:lang w:val="en-US"/>
        </w:rPr>
      </w:pPr>
      <w:r w:rsidRPr="00185D0C">
        <w:rPr>
          <w:lang w:val="en-US"/>
        </w:rPr>
        <w:t>In 2014, a number of public and private organizations established the Mercury Free Partnership</w:t>
      </w:r>
      <w:r w:rsidRPr="007907B9">
        <w:rPr>
          <w:lang w:val="en-US"/>
        </w:rPr>
        <w:t xml:space="preserve"> (MFP)</w:t>
      </w:r>
      <w:r w:rsidR="00186244">
        <w:rPr>
          <w:lang w:val="en-US"/>
        </w:rPr>
        <w:t xml:space="preserve"> where members meet monthly to share information and updates</w:t>
      </w:r>
      <w:r w:rsidRPr="007907B9">
        <w:rPr>
          <w:lang w:val="en-US"/>
        </w:rPr>
        <w:t>.</w:t>
      </w:r>
      <w:r>
        <w:rPr>
          <w:lang w:val="en-US"/>
        </w:rPr>
        <w:t xml:space="preserve"> </w:t>
      </w:r>
      <w:r w:rsidR="00186244">
        <w:rPr>
          <w:lang w:val="en-US"/>
        </w:rPr>
        <w:t>The</w:t>
      </w:r>
      <w:r w:rsidRPr="007907B9">
        <w:rPr>
          <w:lang w:val="en-US"/>
        </w:rPr>
        <w:t xml:space="preserve"> MFP members include Conservation International</w:t>
      </w:r>
      <w:r w:rsidR="008E10ED">
        <w:rPr>
          <w:lang w:val="en-US"/>
        </w:rPr>
        <w:t xml:space="preserve"> Suriname</w:t>
      </w:r>
      <w:r w:rsidRPr="007907B9">
        <w:rPr>
          <w:lang w:val="en-US"/>
        </w:rPr>
        <w:t xml:space="preserve"> (secretariat), the Bureau for Public Health</w:t>
      </w:r>
      <w:r w:rsidR="008E10ED">
        <w:rPr>
          <w:lang w:val="en-US"/>
        </w:rPr>
        <w:t>,</w:t>
      </w:r>
      <w:r w:rsidRPr="007907B9">
        <w:rPr>
          <w:lang w:val="en-US"/>
        </w:rPr>
        <w:t xml:space="preserve"> the NIMOS, </w:t>
      </w:r>
      <w:r w:rsidR="008E10ED">
        <w:rPr>
          <w:lang w:val="en-US"/>
        </w:rPr>
        <w:t>WWF</w:t>
      </w:r>
      <w:r w:rsidRPr="007907B9">
        <w:rPr>
          <w:lang w:val="en-US"/>
        </w:rPr>
        <w:t>-Guianas, University of Suriname</w:t>
      </w:r>
      <w:r w:rsidR="008E10ED">
        <w:rPr>
          <w:lang w:val="en-US"/>
        </w:rPr>
        <w:t xml:space="preserve"> (AdeKUS)</w:t>
      </w:r>
      <w:r w:rsidRPr="007907B9">
        <w:rPr>
          <w:lang w:val="en-US"/>
        </w:rPr>
        <w:t xml:space="preserve">, and the OGS. </w:t>
      </w:r>
      <w:r w:rsidR="008E10ED">
        <w:rPr>
          <w:lang w:val="en-US"/>
        </w:rPr>
        <w:t>Currently, the MFP is inactive, probably du</w:t>
      </w:r>
      <w:r w:rsidR="00186244">
        <w:rPr>
          <w:lang w:val="en-US"/>
        </w:rPr>
        <w:t>e to lack of capacities</w:t>
      </w:r>
      <w:r w:rsidR="00185D0C">
        <w:rPr>
          <w:lang w:val="en-US"/>
        </w:rPr>
        <w:t>.</w:t>
      </w:r>
      <w:r w:rsidR="008E10ED" w:rsidRPr="00185D0C">
        <w:rPr>
          <w:sz w:val="28"/>
          <w:lang w:val="en-US"/>
        </w:rPr>
        <w:t xml:space="preserve"> </w:t>
      </w:r>
    </w:p>
    <w:p w14:paraId="7E36B9BF" w14:textId="1A7B673E" w:rsidR="008711FD" w:rsidRDefault="00CF20D9" w:rsidP="008711FD">
      <w:pPr>
        <w:rPr>
          <w:lang w:val="en-US"/>
        </w:rPr>
      </w:pPr>
      <w:r w:rsidRPr="00185D0C">
        <w:rPr>
          <w:lang w:val="en-US"/>
        </w:rPr>
        <w:t xml:space="preserve">Being aware of the importance of the sector and the level of consumption (and impact) of mercury, the GoS conducted in partnership with the </w:t>
      </w:r>
      <w:r w:rsidR="00186244" w:rsidRPr="00185D0C">
        <w:rPr>
          <w:lang w:val="en-US"/>
        </w:rPr>
        <w:t>WWF Suriname</w:t>
      </w:r>
      <w:r w:rsidRPr="00185D0C">
        <w:rPr>
          <w:lang w:val="en-US"/>
        </w:rPr>
        <w:t>, trainings to miners on mercury-related issues.</w:t>
      </w:r>
      <w:r w:rsidR="0002769E" w:rsidRPr="00185D0C">
        <w:rPr>
          <w:lang w:val="en-US"/>
        </w:rPr>
        <w:t xml:space="preserve"> </w:t>
      </w:r>
      <w:r w:rsidR="008711FD" w:rsidRPr="00185D0C">
        <w:rPr>
          <w:lang w:val="en-US"/>
        </w:rPr>
        <w:t xml:space="preserve">The training courses done focused on some ad-hoc work to teach about best practices, but did not have sufficient specialized </w:t>
      </w:r>
      <w:r w:rsidR="005104D0" w:rsidRPr="00185D0C">
        <w:rPr>
          <w:lang w:val="en-US"/>
        </w:rPr>
        <w:t>in-house</w:t>
      </w:r>
      <w:r w:rsidR="008711FD" w:rsidRPr="00185D0C">
        <w:rPr>
          <w:lang w:val="en-US"/>
        </w:rPr>
        <w:t xml:space="preserve"> technical expertise to effectively implement an upscale and self-sustained training program. </w:t>
      </w:r>
    </w:p>
    <w:p w14:paraId="142BD6B9" w14:textId="77777777" w:rsidR="00CF20D9" w:rsidRDefault="00CF20D9">
      <w:pPr>
        <w:rPr>
          <w:lang w:val="en-US"/>
        </w:rPr>
      </w:pPr>
    </w:p>
    <w:p w14:paraId="7F7686C9" w14:textId="4BFC8A32" w:rsidR="006035E5" w:rsidRPr="009C1EF8" w:rsidRDefault="00DA305E" w:rsidP="00AA15F8">
      <w:pPr>
        <w:pStyle w:val="Heading1"/>
        <w:numPr>
          <w:ilvl w:val="0"/>
          <w:numId w:val="26"/>
        </w:numPr>
      </w:pPr>
      <w:bookmarkStart w:id="7" w:name="_Toc487589364"/>
      <w:r w:rsidRPr="009C1EF8">
        <w:t>Minamata Convention</w:t>
      </w:r>
      <w:bookmarkEnd w:id="7"/>
    </w:p>
    <w:p w14:paraId="398F179A" w14:textId="77777777" w:rsidR="00CF20D9" w:rsidRPr="003D0A1E" w:rsidRDefault="00CF20D9" w:rsidP="00CF20D9">
      <w:pPr>
        <w:rPr>
          <w:lang w:val="en-US"/>
        </w:rPr>
      </w:pPr>
      <w:r w:rsidRPr="003D0A1E">
        <w:rPr>
          <w:lang w:val="en-US"/>
        </w:rPr>
        <w:t xml:space="preserve">Mercury is a global pollutant. Like persistent organic pollutants (POPs), mercury remains in the environment where it circulates among air, water, sediments, soil, and biota in various forms. Atmospheric mercury can be transported long distances, taken up by microorganisms and concentrated up the food chain. Mercury can cause serious damage to ecosystems.  </w:t>
      </w:r>
    </w:p>
    <w:p w14:paraId="418944F7" w14:textId="77777777" w:rsidR="00CF20D9" w:rsidRPr="003D0A1E" w:rsidRDefault="00CF20D9" w:rsidP="00CF20D9">
      <w:pPr>
        <w:rPr>
          <w:lang w:val="en-US"/>
        </w:rPr>
      </w:pPr>
      <w:r w:rsidRPr="003D0A1E">
        <w:rPr>
          <w:lang w:val="en-US"/>
        </w:rPr>
        <w:t>The three most common forms of mercury (elemental, inorganic and methyl mercury) are all detrimental to human health and especially dangerous for fetuses and young children because of their toxicity to the nervous systems (brain and spinal cord). Exposure to elemental mercury, mercury in food, and mercury vapors poses significant health risks including kidney, heart and respiratory problems, tremors, skin rashes, vision or hearing problems, headaches, weakness, memory problems, and emotional changes.</w:t>
      </w:r>
    </w:p>
    <w:p w14:paraId="4A277F49" w14:textId="77777777" w:rsidR="00CF20D9" w:rsidRDefault="00CF20D9" w:rsidP="00CF20D9">
      <w:pPr>
        <w:rPr>
          <w:lang w:val="en-US"/>
        </w:rPr>
      </w:pPr>
      <w:r w:rsidRPr="003D0A1E">
        <w:rPr>
          <w:lang w:val="en-US"/>
        </w:rPr>
        <w:lastRenderedPageBreak/>
        <w:t>In order to address the challenges posed by mercury on a global scale, in 2009 the decision was taken to start UN negotiations for a global, legally-binding treaty to prevent emissions and releases of mercury. The UN negotiations were concluded in January 2013 with 147 governments agreeing to the draft convention text for the Minamata Convention on Mercury.</w:t>
      </w:r>
    </w:p>
    <w:p w14:paraId="684AFF44" w14:textId="77777777" w:rsidR="00CF20D9" w:rsidRPr="003D0A1E" w:rsidRDefault="00CF20D9" w:rsidP="00CF20D9">
      <w:pPr>
        <w:rPr>
          <w:lang w:val="en-US"/>
        </w:rPr>
      </w:pPr>
      <w:r w:rsidRPr="003D0A1E">
        <w:rPr>
          <w:lang w:val="en-US"/>
        </w:rPr>
        <w:t xml:space="preserve">The Convention was adopted and opened for signature on 10 October 2013, at a Conference of Plenipotentiaries (Diplomatic Conference) in Kumamoto, Japan. The Minamata Convention on Mercury - named after a city in Japan where serious health damage occurred as a result of mercury pollution in the mid-20th Century - will aim to reduce mercury emissions from all sources, including gold mining, dental practices, chlor-alkali plants, coal combustion, medical uses as well as waste management, storage, fate and transport in the atmosphere and other related issues. </w:t>
      </w:r>
    </w:p>
    <w:p w14:paraId="202FB530" w14:textId="344C08BE" w:rsidR="00CF20D9" w:rsidRDefault="004F2890" w:rsidP="00CF20D9">
      <w:pPr>
        <w:rPr>
          <w:lang w:val="en-US"/>
        </w:rPr>
      </w:pPr>
      <w:r w:rsidRPr="003D0A1E">
        <w:rPr>
          <w:lang w:val="en-US"/>
        </w:rPr>
        <w:t>Eighty-six</w:t>
      </w:r>
      <w:r w:rsidR="00CF20D9" w:rsidRPr="003D0A1E">
        <w:rPr>
          <w:lang w:val="en-US"/>
        </w:rPr>
        <w:t xml:space="preserve"> (86) countries and the European Union signed the Minamata Convention on the first day it was open. A further five countries signed the Convention on the final day of the Diplomatic Conference, 11 October 2013. To date 128 countries have signed the Convention. On </w:t>
      </w:r>
      <w:r w:rsidR="00CD7242" w:rsidRPr="003D0A1E">
        <w:rPr>
          <w:lang w:val="en-US"/>
        </w:rPr>
        <w:t>November 6, 2013,</w:t>
      </w:r>
      <w:r w:rsidR="00CF20D9" w:rsidRPr="003D0A1E">
        <w:rPr>
          <w:lang w:val="en-US"/>
        </w:rPr>
        <w:t xml:space="preserve"> the United States of America was the first country to ratify the Minamata Convention, as such it became the first party to the Convention.</w:t>
      </w:r>
    </w:p>
    <w:p w14:paraId="6146B1FA" w14:textId="50413328" w:rsidR="00CF20D9" w:rsidRPr="003D0A1E" w:rsidRDefault="00CF20D9" w:rsidP="00CF20D9">
      <w:pPr>
        <w:rPr>
          <w:lang w:val="en-US"/>
        </w:rPr>
      </w:pPr>
      <w:r w:rsidRPr="003D0A1E">
        <w:rPr>
          <w:lang w:val="en-US"/>
        </w:rPr>
        <w:t>The Convention enter</w:t>
      </w:r>
      <w:r w:rsidR="00077856">
        <w:rPr>
          <w:lang w:val="en-US"/>
        </w:rPr>
        <w:t>s</w:t>
      </w:r>
      <w:r w:rsidRPr="003D0A1E">
        <w:rPr>
          <w:lang w:val="en-US"/>
        </w:rPr>
        <w:t xml:space="preserve"> into force 90 days after it has been ratified by 50 nations. It is expected that the Convention will come into force </w:t>
      </w:r>
      <w:r w:rsidR="00077856">
        <w:rPr>
          <w:lang w:val="en-US"/>
        </w:rPr>
        <w:t xml:space="preserve">in </w:t>
      </w:r>
      <w:r w:rsidR="00394410">
        <w:rPr>
          <w:lang w:val="en-US"/>
        </w:rPr>
        <w:t xml:space="preserve">August </w:t>
      </w:r>
      <w:r w:rsidR="00077856">
        <w:rPr>
          <w:lang w:val="en-US"/>
        </w:rPr>
        <w:t>2017</w:t>
      </w:r>
      <w:r w:rsidR="00394410">
        <w:rPr>
          <w:lang w:val="en-US"/>
        </w:rPr>
        <w:t xml:space="preserve">. </w:t>
      </w:r>
    </w:p>
    <w:p w14:paraId="5F08560A" w14:textId="49BFD4BD" w:rsidR="007907B9" w:rsidRDefault="00CF20D9" w:rsidP="007907B9">
      <w:pPr>
        <w:rPr>
          <w:lang w:val="en-US"/>
        </w:rPr>
      </w:pPr>
      <w:r w:rsidRPr="003D0A1E">
        <w:rPr>
          <w:lang w:val="en-US"/>
        </w:rPr>
        <w:t xml:space="preserve">Suriname hasn´t signed the Minamata Convention, the country </w:t>
      </w:r>
      <w:r w:rsidR="00394410">
        <w:rPr>
          <w:lang w:val="en-US"/>
        </w:rPr>
        <w:t xml:space="preserve">however </w:t>
      </w:r>
      <w:r w:rsidRPr="003D0A1E">
        <w:rPr>
          <w:lang w:val="en-US"/>
        </w:rPr>
        <w:t xml:space="preserve">is taking meaningful steps towards </w:t>
      </w:r>
      <w:r w:rsidR="00D23E61">
        <w:rPr>
          <w:lang w:val="en-US"/>
        </w:rPr>
        <w:t xml:space="preserve">to </w:t>
      </w:r>
      <w:r w:rsidRPr="003D0A1E">
        <w:rPr>
          <w:lang w:val="en-US"/>
        </w:rPr>
        <w:t>becoming a party to the Convention</w:t>
      </w:r>
      <w:r w:rsidR="00394410">
        <w:rPr>
          <w:lang w:val="en-US"/>
        </w:rPr>
        <w:t xml:space="preserve"> with a draft </w:t>
      </w:r>
      <w:r w:rsidR="00D23E61">
        <w:rPr>
          <w:lang w:val="en-US"/>
        </w:rPr>
        <w:t>Act</w:t>
      </w:r>
      <w:r w:rsidR="00394410">
        <w:rPr>
          <w:lang w:val="en-US"/>
        </w:rPr>
        <w:t xml:space="preserve"> for ratification of the Minamata convention submitted to parliament</w:t>
      </w:r>
      <w:r w:rsidR="00394410" w:rsidRPr="00EE3E21">
        <w:rPr>
          <w:lang w:val="en-US"/>
        </w:rPr>
        <w:t xml:space="preserve"> </w:t>
      </w:r>
      <w:r w:rsidR="00394410">
        <w:rPr>
          <w:lang w:val="en-US"/>
        </w:rPr>
        <w:t xml:space="preserve">and </w:t>
      </w:r>
      <w:r w:rsidR="00D23E61">
        <w:rPr>
          <w:lang w:val="en-US"/>
        </w:rPr>
        <w:t xml:space="preserve">its preparedness to </w:t>
      </w:r>
      <w:r w:rsidR="00394410">
        <w:rPr>
          <w:lang w:val="en-US"/>
        </w:rPr>
        <w:t>the gradual</w:t>
      </w:r>
      <w:r w:rsidR="00394410" w:rsidRPr="00394410">
        <w:rPr>
          <w:lang w:val="en-US"/>
        </w:rPr>
        <w:t xml:space="preserve"> phasing out </w:t>
      </w:r>
      <w:r w:rsidR="00394410">
        <w:rPr>
          <w:lang w:val="en-US"/>
        </w:rPr>
        <w:t xml:space="preserve">of </w:t>
      </w:r>
      <w:r w:rsidR="00394410" w:rsidRPr="00394410">
        <w:rPr>
          <w:lang w:val="en-US"/>
        </w:rPr>
        <w:t xml:space="preserve">mercury </w:t>
      </w:r>
      <w:r w:rsidR="00394410">
        <w:rPr>
          <w:lang w:val="en-US"/>
        </w:rPr>
        <w:t>within</w:t>
      </w:r>
      <w:r w:rsidR="00394410" w:rsidRPr="00394410">
        <w:rPr>
          <w:lang w:val="en-US"/>
        </w:rPr>
        <w:t xml:space="preserve"> ASGM</w:t>
      </w:r>
      <w:r w:rsidR="00D23E61">
        <w:rPr>
          <w:lang w:val="en-US"/>
        </w:rPr>
        <w:t xml:space="preserve">, as a </w:t>
      </w:r>
      <w:r w:rsidR="00394410" w:rsidRPr="00394410">
        <w:rPr>
          <w:lang w:val="en-US"/>
        </w:rPr>
        <w:t>national policy priority.</w:t>
      </w:r>
      <w:r w:rsidR="00394410">
        <w:rPr>
          <w:lang w:val="en-US"/>
        </w:rPr>
        <w:t xml:space="preserve"> This approach </w:t>
      </w:r>
      <w:r w:rsidRPr="003D0A1E">
        <w:rPr>
          <w:lang w:val="en-US"/>
        </w:rPr>
        <w:t>consider</w:t>
      </w:r>
      <w:r w:rsidR="00394410">
        <w:rPr>
          <w:lang w:val="en-US"/>
        </w:rPr>
        <w:t>s Suriname’s</w:t>
      </w:r>
      <w:r w:rsidRPr="003D0A1E">
        <w:rPr>
          <w:lang w:val="en-US"/>
        </w:rPr>
        <w:t xml:space="preserve"> experience and commitment to the other 30 multilateral environmental agreements (MEAs) of which Suriname is part of</w:t>
      </w:r>
      <w:r>
        <w:rPr>
          <w:lang w:val="en-US"/>
        </w:rPr>
        <w:t>.</w:t>
      </w:r>
      <w:r w:rsidR="0002769E">
        <w:rPr>
          <w:lang w:val="en-US"/>
        </w:rPr>
        <w:t xml:space="preserve"> </w:t>
      </w:r>
    </w:p>
    <w:p w14:paraId="33A92CF5" w14:textId="7B1BD74D" w:rsidR="007907B9" w:rsidRDefault="00CF20D9" w:rsidP="007907B9">
      <w:pPr>
        <w:rPr>
          <w:lang w:val="en-US"/>
        </w:rPr>
      </w:pPr>
      <w:r>
        <w:rPr>
          <w:lang w:val="en-US"/>
        </w:rPr>
        <w:t xml:space="preserve">As mentioned before, </w:t>
      </w:r>
      <w:r w:rsidRPr="00CF20D9">
        <w:rPr>
          <w:lang w:val="en-US"/>
        </w:rPr>
        <w:t>Suriname lacks an integrated framework on environmental legislation. The existence of challenges on the mercury-related issues in the country is acknowledged, but a deeper analysis must be undertaken to understand the degree of emissions, releases and their impacts</w:t>
      </w:r>
      <w:r w:rsidR="00394410">
        <w:rPr>
          <w:lang w:val="en-US"/>
        </w:rPr>
        <w:t xml:space="preserve"> related to ASGM</w:t>
      </w:r>
      <w:r w:rsidRPr="00CF20D9">
        <w:rPr>
          <w:lang w:val="en-US"/>
        </w:rPr>
        <w:t>, as well as alternatives that can meet Suriname´s needs.</w:t>
      </w:r>
    </w:p>
    <w:p w14:paraId="5A562F13" w14:textId="77777777" w:rsidR="00BB4B68" w:rsidRDefault="00BB4B68" w:rsidP="007907B9">
      <w:pPr>
        <w:rPr>
          <w:lang w:val="en-US"/>
        </w:rPr>
      </w:pPr>
    </w:p>
    <w:p w14:paraId="3758C6A4" w14:textId="538E9ADD" w:rsidR="00BB4B68" w:rsidRPr="006451BA" w:rsidRDefault="00BB4B68" w:rsidP="00AA15F8">
      <w:pPr>
        <w:pStyle w:val="Heading2"/>
        <w:numPr>
          <w:ilvl w:val="1"/>
          <w:numId w:val="26"/>
        </w:numPr>
      </w:pPr>
      <w:bookmarkStart w:id="8" w:name="_Toc487589365"/>
      <w:r w:rsidRPr="006451BA">
        <w:t>NAP Suriname</w:t>
      </w:r>
      <w:bookmarkEnd w:id="8"/>
    </w:p>
    <w:p w14:paraId="351DC01E" w14:textId="63F83E62" w:rsidR="000F1A91" w:rsidRDefault="00CF20D9" w:rsidP="000F1A91">
      <w:pPr>
        <w:rPr>
          <w:lang w:val="en"/>
        </w:rPr>
      </w:pPr>
      <w:r w:rsidRPr="00CF20D9">
        <w:rPr>
          <w:lang w:val="en-US"/>
        </w:rPr>
        <w:t xml:space="preserve">As the artisanal and small-scale gold mining (ASGM) sector is a major source of mercury release and environmental pollution in the world, </w:t>
      </w:r>
      <w:r w:rsidR="000F1A91">
        <w:rPr>
          <w:lang w:val="en-US"/>
        </w:rPr>
        <w:t xml:space="preserve">Suriname is, </w:t>
      </w:r>
      <w:r w:rsidR="004F0539">
        <w:rPr>
          <w:lang w:val="en-US"/>
        </w:rPr>
        <w:t>according</w:t>
      </w:r>
      <w:r w:rsidR="000F1A91">
        <w:rPr>
          <w:lang w:val="en-US"/>
        </w:rPr>
        <w:t xml:space="preserve"> to the</w:t>
      </w:r>
      <w:r w:rsidRPr="00CF20D9">
        <w:rPr>
          <w:lang w:val="en-US"/>
        </w:rPr>
        <w:t xml:space="preserve"> Minamata Convention</w:t>
      </w:r>
      <w:r w:rsidR="000F1A91">
        <w:rPr>
          <w:lang w:val="en-US"/>
        </w:rPr>
        <w:t>,</w:t>
      </w:r>
      <w:r w:rsidRPr="00CF20D9">
        <w:rPr>
          <w:lang w:val="en-US"/>
        </w:rPr>
        <w:t xml:space="preserve"> require</w:t>
      </w:r>
      <w:r w:rsidR="000F1A91">
        <w:rPr>
          <w:lang w:val="en-US"/>
        </w:rPr>
        <w:t>d</w:t>
      </w:r>
      <w:r w:rsidRPr="00CF20D9">
        <w:rPr>
          <w:lang w:val="en-US"/>
        </w:rPr>
        <w:t xml:space="preserve"> to devel</w:t>
      </w:r>
      <w:r w:rsidR="000F1A91">
        <w:rPr>
          <w:lang w:val="en-US"/>
        </w:rPr>
        <w:t xml:space="preserve">op a National Action Plan (NAP). </w:t>
      </w:r>
      <w:r w:rsidR="000F1A91" w:rsidRPr="00943429">
        <w:rPr>
          <w:lang w:val="en"/>
        </w:rPr>
        <w:t xml:space="preserve">Article 7 of the Minamata Convention on Mercury addresses artisanal and </w:t>
      </w:r>
      <w:r w:rsidR="00CD7242" w:rsidRPr="00943429">
        <w:rPr>
          <w:lang w:val="en"/>
        </w:rPr>
        <w:t>small-scale</w:t>
      </w:r>
      <w:r w:rsidR="000F1A91" w:rsidRPr="00943429">
        <w:rPr>
          <w:lang w:val="en"/>
        </w:rPr>
        <w:t xml:space="preserve"> gold mining (ASGM), the largest global source of mercury pollution. Under this Article, countries where mercury use in ASGM is “more than insignificant” are required to take steps to reduce and, where feasible, eliminate the use of mercury, by developing a NAP.</w:t>
      </w:r>
      <w:r w:rsidR="000F1A91">
        <w:rPr>
          <w:lang w:val="en"/>
        </w:rPr>
        <w:t xml:space="preserve"> The Suriname NAP will </w:t>
      </w:r>
      <w:r w:rsidR="000F1A91" w:rsidRPr="00943429">
        <w:rPr>
          <w:lang w:val="en"/>
        </w:rPr>
        <w:t xml:space="preserve">focus on </w:t>
      </w:r>
      <w:r w:rsidR="000F1A91">
        <w:rPr>
          <w:lang w:val="en"/>
        </w:rPr>
        <w:t>the ASGM sector f</w:t>
      </w:r>
      <w:r w:rsidR="000F1A91" w:rsidRPr="00943429">
        <w:rPr>
          <w:lang w:val="en"/>
        </w:rPr>
        <w:t>or which a strategy to systematically reduce mercury emissions</w:t>
      </w:r>
      <w:r w:rsidR="000F1A91">
        <w:rPr>
          <w:lang w:val="en"/>
        </w:rPr>
        <w:t xml:space="preserve"> will be articulated</w:t>
      </w:r>
      <w:r w:rsidR="000F1A91" w:rsidRPr="00943429">
        <w:rPr>
          <w:lang w:val="en"/>
        </w:rPr>
        <w:t>.</w:t>
      </w:r>
    </w:p>
    <w:p w14:paraId="135F90DB" w14:textId="40B176F3" w:rsidR="00261028" w:rsidRDefault="00261028" w:rsidP="000F1A91">
      <w:pPr>
        <w:rPr>
          <w:lang w:val="en"/>
        </w:rPr>
      </w:pPr>
      <w:r>
        <w:rPr>
          <w:lang w:val="en"/>
        </w:rPr>
        <w:t xml:space="preserve">The Suriname NAP </w:t>
      </w:r>
      <w:r w:rsidR="005B3162">
        <w:rPr>
          <w:lang w:val="en"/>
        </w:rPr>
        <w:t xml:space="preserve">project </w:t>
      </w:r>
      <w:r>
        <w:rPr>
          <w:lang w:val="en"/>
        </w:rPr>
        <w:t>consist</w:t>
      </w:r>
      <w:r w:rsidR="005B3162">
        <w:rPr>
          <w:lang w:val="en"/>
        </w:rPr>
        <w:t>s</w:t>
      </w:r>
      <w:r>
        <w:rPr>
          <w:lang w:val="en"/>
        </w:rPr>
        <w:t xml:space="preserve"> of the following components:</w:t>
      </w:r>
    </w:p>
    <w:p w14:paraId="5444D03D" w14:textId="11BE52AE" w:rsidR="00261028" w:rsidRPr="00261028" w:rsidRDefault="00261028" w:rsidP="00261028">
      <w:pPr>
        <w:pStyle w:val="ListParagraph"/>
        <w:numPr>
          <w:ilvl w:val="0"/>
          <w:numId w:val="15"/>
        </w:numPr>
        <w:rPr>
          <w:lang w:val="en"/>
        </w:rPr>
      </w:pPr>
      <w:r w:rsidRPr="00261028">
        <w:rPr>
          <w:lang w:val="en"/>
        </w:rPr>
        <w:t>Develop Mercury Profile in artisanal and small-scale gold mining (ASGM)</w:t>
      </w:r>
    </w:p>
    <w:p w14:paraId="487D80AD" w14:textId="75DD74BE" w:rsidR="00261028" w:rsidRDefault="00261028" w:rsidP="00261028">
      <w:pPr>
        <w:pStyle w:val="ListParagraph"/>
        <w:numPr>
          <w:ilvl w:val="0"/>
          <w:numId w:val="15"/>
        </w:numPr>
        <w:rPr>
          <w:lang w:val="en"/>
        </w:rPr>
      </w:pPr>
      <w:r w:rsidRPr="00261028">
        <w:rPr>
          <w:lang w:val="en"/>
        </w:rPr>
        <w:t xml:space="preserve">Strengthen institutional capacities to achieve the reduction of emissions and releases of, and exposure to, mercury in ASGM sector and processing, including mercury-free methods  </w:t>
      </w:r>
    </w:p>
    <w:p w14:paraId="606E2249" w14:textId="4BD4833A" w:rsidR="00261028" w:rsidRPr="00261028" w:rsidRDefault="00261028" w:rsidP="00261028">
      <w:pPr>
        <w:pStyle w:val="ListParagraph"/>
        <w:numPr>
          <w:ilvl w:val="0"/>
          <w:numId w:val="15"/>
        </w:numPr>
        <w:rPr>
          <w:lang w:val="en"/>
        </w:rPr>
      </w:pPr>
      <w:r w:rsidRPr="00261028">
        <w:rPr>
          <w:lang w:val="en"/>
        </w:rPr>
        <w:t>Prepare a National Action Plan (NAP) and establish a schedule for the implementation of the NAP</w:t>
      </w:r>
      <w:r>
        <w:rPr>
          <w:lang w:val="en"/>
        </w:rPr>
        <w:t>.</w:t>
      </w:r>
    </w:p>
    <w:p w14:paraId="140BE5B4" w14:textId="59189A3D" w:rsidR="007907B9" w:rsidRPr="00185D0C" w:rsidRDefault="007907B9" w:rsidP="007907B9">
      <w:pPr>
        <w:rPr>
          <w:lang w:val="en-US"/>
        </w:rPr>
      </w:pPr>
      <w:r w:rsidRPr="00185D0C">
        <w:rPr>
          <w:lang w:val="en-US"/>
        </w:rPr>
        <w:lastRenderedPageBreak/>
        <w:t>In 2013, NIMOS started a process to advise the government with regard</w:t>
      </w:r>
      <w:r w:rsidR="005B3162">
        <w:rPr>
          <w:lang w:val="en-US"/>
        </w:rPr>
        <w:t>s</w:t>
      </w:r>
      <w:r w:rsidRPr="00185D0C">
        <w:rPr>
          <w:lang w:val="en-US"/>
        </w:rPr>
        <w:t xml:space="preserve"> to signature and ratification of the Minamata Convention on Mercury. This process included stakeholder cons</w:t>
      </w:r>
      <w:r w:rsidR="0002769E" w:rsidRPr="00185D0C">
        <w:rPr>
          <w:lang w:val="en-US"/>
        </w:rPr>
        <w:t xml:space="preserve">ultations and </w:t>
      </w:r>
      <w:r w:rsidRPr="00185D0C">
        <w:rPr>
          <w:lang w:val="en-US"/>
        </w:rPr>
        <w:t>resulted in an advisory document and a roadmap with activities for the gradual elimination of mercury from Suriname. Proposed activities include registration and legalization of ASGM activities in Suriname.</w:t>
      </w:r>
    </w:p>
    <w:p w14:paraId="13DA0916" w14:textId="42358F4B" w:rsidR="007907B9" w:rsidRPr="00185D0C" w:rsidRDefault="007907B9" w:rsidP="007907B9">
      <w:pPr>
        <w:rPr>
          <w:lang w:val="en-US"/>
        </w:rPr>
      </w:pPr>
      <w:r w:rsidRPr="00185D0C">
        <w:rPr>
          <w:lang w:val="en-US"/>
        </w:rPr>
        <w:t xml:space="preserve">As per </w:t>
      </w:r>
      <w:r w:rsidR="006C602B" w:rsidRPr="00185D0C">
        <w:rPr>
          <w:lang w:val="en-US"/>
        </w:rPr>
        <w:t xml:space="preserve">June </w:t>
      </w:r>
      <w:r w:rsidRPr="00185D0C">
        <w:rPr>
          <w:lang w:val="en-US"/>
        </w:rPr>
        <w:t>201</w:t>
      </w:r>
      <w:r w:rsidR="006C602B" w:rsidRPr="00185D0C">
        <w:rPr>
          <w:lang w:val="en-US"/>
        </w:rPr>
        <w:t>7</w:t>
      </w:r>
      <w:r w:rsidRPr="00185D0C">
        <w:rPr>
          <w:lang w:val="en-US"/>
        </w:rPr>
        <w:t xml:space="preserve">, Suriname had not yet signed the Minamata Convention on mercury, but it is in the process of taking this step. In </w:t>
      </w:r>
      <w:r w:rsidR="005B3162">
        <w:rPr>
          <w:lang w:val="en-US"/>
        </w:rPr>
        <w:t>early</w:t>
      </w:r>
      <w:r w:rsidR="005B3162" w:rsidRPr="00185D0C">
        <w:rPr>
          <w:lang w:val="en-US"/>
        </w:rPr>
        <w:t xml:space="preserve"> </w:t>
      </w:r>
      <w:r w:rsidRPr="00185D0C">
        <w:rPr>
          <w:lang w:val="en-US"/>
        </w:rPr>
        <w:t>201</w:t>
      </w:r>
      <w:r w:rsidR="00834915">
        <w:rPr>
          <w:lang w:val="en-US"/>
        </w:rPr>
        <w:t>7</w:t>
      </w:r>
      <w:r w:rsidRPr="00185D0C">
        <w:rPr>
          <w:lang w:val="en-US"/>
        </w:rPr>
        <w:t>, the council of Ministers approved ratification of the Minamata Convention</w:t>
      </w:r>
      <w:r w:rsidR="00231F84" w:rsidRPr="00185D0C">
        <w:rPr>
          <w:lang w:val="en-US"/>
        </w:rPr>
        <w:t xml:space="preserve"> </w:t>
      </w:r>
      <w:r w:rsidR="005B3162">
        <w:rPr>
          <w:lang w:val="en-US"/>
        </w:rPr>
        <w:t xml:space="preserve">and in February 2017 the President of Suriname submitted the draft </w:t>
      </w:r>
      <w:r w:rsidR="00F236E2">
        <w:rPr>
          <w:lang w:val="en-US"/>
        </w:rPr>
        <w:t>Act for ratification of Minamata Convention</w:t>
      </w:r>
      <w:r w:rsidR="005B3162">
        <w:rPr>
          <w:lang w:val="en-US"/>
        </w:rPr>
        <w:t xml:space="preserve"> to parliament. Th</w:t>
      </w:r>
      <w:r w:rsidR="00F236E2">
        <w:rPr>
          <w:lang w:val="en-US"/>
        </w:rPr>
        <w:t xml:space="preserve">is </w:t>
      </w:r>
      <w:r w:rsidR="005B3162">
        <w:rPr>
          <w:lang w:val="en-US"/>
        </w:rPr>
        <w:t xml:space="preserve">draft </w:t>
      </w:r>
      <w:r w:rsidR="00F236E2">
        <w:rPr>
          <w:lang w:val="en-US"/>
        </w:rPr>
        <w:t xml:space="preserve">Act </w:t>
      </w:r>
      <w:r w:rsidR="00231F84" w:rsidRPr="00185D0C">
        <w:rPr>
          <w:lang w:val="en-US"/>
        </w:rPr>
        <w:t xml:space="preserve">is </w:t>
      </w:r>
      <w:r w:rsidRPr="00185D0C">
        <w:rPr>
          <w:lang w:val="en-US"/>
        </w:rPr>
        <w:t>now awaiting app</w:t>
      </w:r>
      <w:r w:rsidR="00231F84" w:rsidRPr="00185D0C">
        <w:rPr>
          <w:lang w:val="en-US"/>
        </w:rPr>
        <w:t xml:space="preserve">roval </w:t>
      </w:r>
      <w:r w:rsidR="00F236E2">
        <w:rPr>
          <w:lang w:val="en-US"/>
        </w:rPr>
        <w:t xml:space="preserve">by </w:t>
      </w:r>
      <w:r w:rsidR="00231F84" w:rsidRPr="00185D0C">
        <w:rPr>
          <w:lang w:val="en-US"/>
        </w:rPr>
        <w:t>the National Assembly</w:t>
      </w:r>
      <w:r w:rsidR="00F236E2">
        <w:rPr>
          <w:lang w:val="en-US"/>
        </w:rPr>
        <w:t xml:space="preserve"> (parliament)</w:t>
      </w:r>
      <w:r w:rsidRPr="00185D0C">
        <w:rPr>
          <w:lang w:val="en-US"/>
        </w:rPr>
        <w:t>.</w:t>
      </w:r>
    </w:p>
    <w:p w14:paraId="42FC3AD1" w14:textId="21D9D521" w:rsidR="0002769E" w:rsidRDefault="007907B9" w:rsidP="0002769E">
      <w:pPr>
        <w:rPr>
          <w:lang w:val="en-US"/>
        </w:rPr>
      </w:pPr>
      <w:r w:rsidRPr="00185D0C">
        <w:rPr>
          <w:lang w:val="en-US"/>
        </w:rPr>
        <w:t>Another policy initiative of the Ministry of Natural Resources in support of the reduction and elimination</w:t>
      </w:r>
      <w:r w:rsidR="00F838F5" w:rsidRPr="00185D0C">
        <w:rPr>
          <w:lang w:val="en-US"/>
        </w:rPr>
        <w:t xml:space="preserve"> </w:t>
      </w:r>
      <w:r w:rsidRPr="00185D0C">
        <w:rPr>
          <w:lang w:val="en-US"/>
        </w:rPr>
        <w:t xml:space="preserve">of mercury is revision of the Suriname </w:t>
      </w:r>
      <w:r w:rsidR="0002769E" w:rsidRPr="00185D0C">
        <w:rPr>
          <w:lang w:val="en-US"/>
        </w:rPr>
        <w:t>Mining Act</w:t>
      </w:r>
      <w:r w:rsidRPr="00185D0C">
        <w:rPr>
          <w:lang w:val="en-US"/>
        </w:rPr>
        <w:t>.</w:t>
      </w:r>
      <w:r w:rsidR="0002769E" w:rsidRPr="00185D0C">
        <w:rPr>
          <w:lang w:val="en-US"/>
        </w:rPr>
        <w:t xml:space="preserve"> Currently, there are no mandatory</w:t>
      </w:r>
      <w:r w:rsidR="0002769E" w:rsidRPr="008F4F7A">
        <w:rPr>
          <w:lang w:val="en-US"/>
        </w:rPr>
        <w:t xml:space="preserve"> environmental and social impact assessments (ESIAs) for mines - only voluntary general guidelines for ESIAs and guidelines for the mining sector. To date only large scale gold mining companies have conducted ESIAs voluntarily, but these companies are mining without the use of mercury, however, mercury can still be released in the production process. No legislation/regulation exists in relation to emission standards in the mining industry either. It is</w:t>
      </w:r>
      <w:r w:rsidR="0002769E">
        <w:rPr>
          <w:lang w:val="en-US"/>
        </w:rPr>
        <w:t xml:space="preserve"> therefore acknowledge </w:t>
      </w:r>
      <w:r w:rsidR="0002769E" w:rsidRPr="008F4F7A">
        <w:rPr>
          <w:lang w:val="en-US"/>
        </w:rPr>
        <w:t>that the existing Mining Act needs to be updated as it dates back to the Mining Decree E-58 of 1986.</w:t>
      </w:r>
    </w:p>
    <w:p w14:paraId="112E7C81" w14:textId="1BC7115B" w:rsidR="00C543D4" w:rsidRDefault="008F4F7A" w:rsidP="008F4F7A">
      <w:pPr>
        <w:rPr>
          <w:lang w:val="en-US"/>
        </w:rPr>
      </w:pPr>
      <w:r w:rsidRPr="008F4F7A">
        <w:rPr>
          <w:lang w:val="en-US"/>
        </w:rPr>
        <w:t xml:space="preserve">Furthermore, the Government is seeking out ways in updating and/or creating the legal and institutional framework to regulate the sector and the devastating environmental impacts cited in several studies. These studies, which have been carried out over the past years on mercury releases, contamination, freshwater quality and human health in the hinterland, provide data on ecological and health impacts. </w:t>
      </w:r>
      <w:r w:rsidR="00034D00">
        <w:rPr>
          <w:lang w:val="en-US"/>
        </w:rPr>
        <w:t xml:space="preserve">To guide the </w:t>
      </w:r>
      <w:r w:rsidR="00F236E2">
        <w:rPr>
          <w:lang w:val="en-US"/>
        </w:rPr>
        <w:t>decision-making</w:t>
      </w:r>
      <w:r w:rsidR="00034D00">
        <w:rPr>
          <w:lang w:val="en-US"/>
        </w:rPr>
        <w:t xml:space="preserve"> process and to </w:t>
      </w:r>
      <w:r w:rsidR="00034D00" w:rsidRPr="00034D00">
        <w:rPr>
          <w:lang w:val="en-US"/>
        </w:rPr>
        <w:t>assure that the best information is made available to the stakeholders involved in the accession process to the Minamata Convention</w:t>
      </w:r>
      <w:r w:rsidR="00034D00">
        <w:rPr>
          <w:lang w:val="en-US"/>
        </w:rPr>
        <w:t xml:space="preserve">, </w:t>
      </w:r>
      <w:r w:rsidR="00034D00" w:rsidRPr="00185D0C">
        <w:rPr>
          <w:lang w:val="en-US"/>
        </w:rPr>
        <w:t>the GoS therefore</w:t>
      </w:r>
      <w:r w:rsidR="000F1A91" w:rsidRPr="00185D0C">
        <w:rPr>
          <w:lang w:val="en-US"/>
        </w:rPr>
        <w:t xml:space="preserve"> is</w:t>
      </w:r>
      <w:r w:rsidR="00034D00" w:rsidRPr="00185D0C">
        <w:rPr>
          <w:lang w:val="en-US"/>
        </w:rPr>
        <w:t xml:space="preserve"> undertaking an assessment project, the</w:t>
      </w:r>
      <w:r w:rsidR="00034D00" w:rsidRPr="00185D0C">
        <w:rPr>
          <w:lang w:val="en"/>
        </w:rPr>
        <w:t xml:space="preserve"> Minamata Convention Initial Assessment project (MIA), </w:t>
      </w:r>
      <w:r w:rsidRPr="00185D0C">
        <w:rPr>
          <w:lang w:val="en-US"/>
        </w:rPr>
        <w:t>on the current situation of Mercury-related issues (including top-down inventories.</w:t>
      </w:r>
    </w:p>
    <w:p w14:paraId="448DF144" w14:textId="6DE56FDE" w:rsidR="00105DF6" w:rsidRPr="00185D0C" w:rsidRDefault="00034D00" w:rsidP="008F4F7A">
      <w:pPr>
        <w:rPr>
          <w:lang w:val="en-US"/>
        </w:rPr>
      </w:pPr>
      <w:r w:rsidRPr="00034D00">
        <w:rPr>
          <w:lang w:val="en-US"/>
        </w:rPr>
        <w:t xml:space="preserve">The Minamata Convention Initial Assessment project (MIA) is an enabling activity funded by the GEF that will enable </w:t>
      </w:r>
      <w:r w:rsidR="00105DF6">
        <w:rPr>
          <w:lang w:val="en-US"/>
        </w:rPr>
        <w:t>countries</w:t>
      </w:r>
      <w:r w:rsidRPr="00034D00">
        <w:rPr>
          <w:lang w:val="en-US"/>
        </w:rPr>
        <w:t xml:space="preserve"> to identify domestic mercury challenges and the extent to which existing legal and regulatory frameworks enable a country to implement future obligations under the Minamata Convention. As such, countries develop a national mercury profile that can be used for further action against the dangers of mercury</w:t>
      </w:r>
      <w:r>
        <w:rPr>
          <w:lang w:val="en-US"/>
        </w:rPr>
        <w:t>.</w:t>
      </w:r>
      <w:r w:rsidR="00105DF6">
        <w:rPr>
          <w:lang w:val="en-US"/>
        </w:rPr>
        <w:t xml:space="preserve"> The MIA-Suriname consist of the following </w:t>
      </w:r>
      <w:r w:rsidR="00105DF6" w:rsidRPr="00185D0C">
        <w:rPr>
          <w:lang w:val="en-US"/>
        </w:rPr>
        <w:t>components:</w:t>
      </w:r>
    </w:p>
    <w:p w14:paraId="6C31E9FF" w14:textId="6B368C7A" w:rsidR="00105DF6" w:rsidRPr="00185D0C" w:rsidRDefault="00B409FE" w:rsidP="00B409FE">
      <w:pPr>
        <w:pStyle w:val="ListParagraph"/>
        <w:numPr>
          <w:ilvl w:val="0"/>
          <w:numId w:val="14"/>
        </w:numPr>
        <w:rPr>
          <w:lang w:val="en"/>
        </w:rPr>
      </w:pPr>
      <w:r w:rsidRPr="00185D0C">
        <w:rPr>
          <w:lang w:val="en"/>
        </w:rPr>
        <w:t>Enabling environment for decision-making on the ratification of Minamata established.</w:t>
      </w:r>
    </w:p>
    <w:p w14:paraId="303F844A" w14:textId="6B3166FB" w:rsidR="00034D00" w:rsidRPr="00185D0C" w:rsidRDefault="00B409FE" w:rsidP="00616AD8">
      <w:pPr>
        <w:pStyle w:val="ListParagraph"/>
        <w:numPr>
          <w:ilvl w:val="0"/>
          <w:numId w:val="14"/>
        </w:numPr>
        <w:rPr>
          <w:lang w:val="en"/>
        </w:rPr>
      </w:pPr>
      <w:r w:rsidRPr="00185D0C">
        <w:rPr>
          <w:lang w:val="en"/>
        </w:rPr>
        <w:t>Development of the National Mercury Profile and Mercury Initial Assessment Report.</w:t>
      </w:r>
    </w:p>
    <w:p w14:paraId="0D5843D7" w14:textId="3EF19E95" w:rsidR="00231F84" w:rsidRPr="004F0539" w:rsidRDefault="004F0539" w:rsidP="00943429">
      <w:pPr>
        <w:rPr>
          <w:lang w:val="en-US"/>
        </w:rPr>
      </w:pPr>
      <w:r w:rsidRPr="004F0539">
        <w:rPr>
          <w:lang w:val="en-US"/>
        </w:rPr>
        <w:t xml:space="preserve">Whereas the MIA projects provide a broad overview of the use of mercury in different sectors of a country, the National Action Plan (NAP) projects focus on one </w:t>
      </w:r>
      <w:r w:rsidR="00F236E2" w:rsidRPr="004F0539">
        <w:rPr>
          <w:lang w:val="en-US"/>
        </w:rPr>
        <w:t>sector</w:t>
      </w:r>
      <w:r w:rsidRPr="004F0539">
        <w:rPr>
          <w:lang w:val="en-US"/>
        </w:rPr>
        <w:t xml:space="preserve"> for which they articulate a strategy to systematically reduce mercury emissions.</w:t>
      </w:r>
      <w:r w:rsidR="00185D0C" w:rsidRPr="00185D0C">
        <w:rPr>
          <w:lang w:val="en-US"/>
        </w:rPr>
        <w:t xml:space="preserve"> The development of </w:t>
      </w:r>
      <w:r w:rsidR="00185D0C">
        <w:rPr>
          <w:lang w:val="en-US"/>
        </w:rPr>
        <w:t>the</w:t>
      </w:r>
      <w:r w:rsidR="00185D0C" w:rsidRPr="00185D0C">
        <w:rPr>
          <w:lang w:val="en-US"/>
        </w:rPr>
        <w:t xml:space="preserve"> NAP focused on the ASGM sector complements the MIA initiative and that the country can achieve the objectives of the implementation phase o</w:t>
      </w:r>
      <w:r w:rsidR="00185D0C">
        <w:rPr>
          <w:lang w:val="en-US"/>
        </w:rPr>
        <w:t>f the Convention.</w:t>
      </w:r>
    </w:p>
    <w:p w14:paraId="5FC5C396" w14:textId="78609B80" w:rsidR="00943429" w:rsidRDefault="00943429" w:rsidP="00943429">
      <w:pPr>
        <w:rPr>
          <w:lang w:val="en"/>
        </w:rPr>
      </w:pPr>
      <w:r w:rsidRPr="00943429">
        <w:rPr>
          <w:lang w:val="en"/>
        </w:rPr>
        <w:t xml:space="preserve">In addition, the GoS is </w:t>
      </w:r>
      <w:r w:rsidR="000F1A91">
        <w:rPr>
          <w:lang w:val="en"/>
        </w:rPr>
        <w:t>currently</w:t>
      </w:r>
      <w:r w:rsidRPr="00943429">
        <w:rPr>
          <w:lang w:val="en"/>
        </w:rPr>
        <w:t xml:space="preserve"> in the process of </w:t>
      </w:r>
      <w:r>
        <w:rPr>
          <w:lang w:val="en"/>
        </w:rPr>
        <w:t xml:space="preserve">preparing the </w:t>
      </w:r>
      <w:r w:rsidR="003D6A1A">
        <w:rPr>
          <w:lang w:val="en"/>
        </w:rPr>
        <w:t>full</w:t>
      </w:r>
      <w:r w:rsidR="00D23E61">
        <w:rPr>
          <w:lang w:val="en"/>
        </w:rPr>
        <w:t xml:space="preserve"> </w:t>
      </w:r>
      <w:r w:rsidR="003D6A1A">
        <w:rPr>
          <w:lang w:val="en"/>
        </w:rPr>
        <w:t xml:space="preserve">size GEF project </w:t>
      </w:r>
      <w:r w:rsidR="003D6A1A" w:rsidRPr="003D6A1A">
        <w:rPr>
          <w:i/>
          <w:lang w:val="en"/>
        </w:rPr>
        <w:t>`Improving Environmental Management in the Mining Sector</w:t>
      </w:r>
      <w:r w:rsidR="003D6A1A">
        <w:rPr>
          <w:i/>
          <w:lang w:val="en"/>
        </w:rPr>
        <w:t xml:space="preserve"> of Suriname, with Emphasis on </w:t>
      </w:r>
      <w:r w:rsidR="003D6A1A" w:rsidRPr="003D6A1A">
        <w:rPr>
          <w:i/>
          <w:lang w:val="en"/>
        </w:rPr>
        <w:t>Gold Mining</w:t>
      </w:r>
      <w:r>
        <w:rPr>
          <w:lang w:val="en"/>
        </w:rPr>
        <w:t>´</w:t>
      </w:r>
      <w:r w:rsidR="003D6A1A">
        <w:rPr>
          <w:lang w:val="en"/>
        </w:rPr>
        <w:t xml:space="preserve">.  </w:t>
      </w:r>
      <w:r w:rsidR="00186244">
        <w:rPr>
          <w:lang w:val="en"/>
        </w:rPr>
        <w:t>The objective of the project is: `</w:t>
      </w:r>
      <w:r w:rsidR="00186244" w:rsidRPr="00186244">
        <w:rPr>
          <w:lang w:val="en"/>
        </w:rPr>
        <w:t xml:space="preserve">Strengthen the enabling environment for the management of mining and promote uptake of environmentally responsible mining technologies in Suriname </w:t>
      </w:r>
      <w:r w:rsidR="007A5E2B" w:rsidRPr="00186244">
        <w:rPr>
          <w:lang w:val="en"/>
        </w:rPr>
        <w:t>to</w:t>
      </w:r>
      <w:r w:rsidR="00186244" w:rsidRPr="00186244">
        <w:rPr>
          <w:lang w:val="en"/>
        </w:rPr>
        <w:t xml:space="preserve"> reduce negative </w:t>
      </w:r>
      <w:r w:rsidR="00186244" w:rsidRPr="00186244">
        <w:rPr>
          <w:lang w:val="en"/>
        </w:rPr>
        <w:lastRenderedPageBreak/>
        <w:t>impacts on biodiversity and forests, mitigate climate change, and enhance local livelihoods</w:t>
      </w:r>
      <w:r w:rsidR="00186244">
        <w:rPr>
          <w:lang w:val="en"/>
        </w:rPr>
        <w:t xml:space="preserve">`. </w:t>
      </w:r>
      <w:r w:rsidR="003D6A1A">
        <w:rPr>
          <w:lang w:val="en"/>
        </w:rPr>
        <w:t xml:space="preserve">This project </w:t>
      </w:r>
      <w:r w:rsidR="00F236E2">
        <w:rPr>
          <w:lang w:val="en"/>
        </w:rPr>
        <w:t>consists</w:t>
      </w:r>
      <w:r w:rsidR="003D6A1A">
        <w:rPr>
          <w:lang w:val="en"/>
        </w:rPr>
        <w:t xml:space="preserve"> of the following two </w:t>
      </w:r>
      <w:r w:rsidR="007A5E2B">
        <w:rPr>
          <w:lang w:val="en"/>
        </w:rPr>
        <w:t xml:space="preserve">core </w:t>
      </w:r>
      <w:r w:rsidR="003D6A1A">
        <w:rPr>
          <w:lang w:val="en"/>
        </w:rPr>
        <w:t>components:</w:t>
      </w:r>
    </w:p>
    <w:p w14:paraId="5BC4FB93" w14:textId="15DC84C1" w:rsidR="003D6A1A" w:rsidRDefault="003D6A1A" w:rsidP="003D6A1A">
      <w:pPr>
        <w:pStyle w:val="ListParagraph"/>
        <w:numPr>
          <w:ilvl w:val="0"/>
          <w:numId w:val="13"/>
        </w:numPr>
        <w:rPr>
          <w:lang w:val="en"/>
        </w:rPr>
      </w:pPr>
      <w:r w:rsidRPr="003D6A1A">
        <w:rPr>
          <w:lang w:val="en"/>
        </w:rPr>
        <w:t>Institutional, policy and planning framework strengthened for improved management of gold mining in Suriname</w:t>
      </w:r>
    </w:p>
    <w:p w14:paraId="55B13245" w14:textId="7F188D73" w:rsidR="003D6A1A" w:rsidRDefault="003D6A1A" w:rsidP="003D6A1A">
      <w:pPr>
        <w:pStyle w:val="ListParagraph"/>
        <w:numPr>
          <w:ilvl w:val="0"/>
          <w:numId w:val="13"/>
        </w:numPr>
        <w:rPr>
          <w:lang w:val="en"/>
        </w:rPr>
      </w:pPr>
      <w:r w:rsidRPr="003D6A1A">
        <w:rPr>
          <w:lang w:val="en"/>
        </w:rPr>
        <w:t>Increased adoption of environmentally responsible practices among gold miners and communities in the Greenstone Belt leading to multiple global environmental benefits</w:t>
      </w:r>
    </w:p>
    <w:p w14:paraId="6222CE95" w14:textId="3D4DCC52" w:rsidR="008E481F" w:rsidRPr="00943919" w:rsidRDefault="008E481F" w:rsidP="000F1A91">
      <w:pPr>
        <w:rPr>
          <w:lang w:val="en-US"/>
        </w:rPr>
      </w:pPr>
      <w:r w:rsidRPr="00943919">
        <w:rPr>
          <w:lang w:val="en-US"/>
        </w:rPr>
        <w:t xml:space="preserve">As mentioned before, there have been </w:t>
      </w:r>
      <w:r w:rsidR="000F1A91" w:rsidRPr="00943919">
        <w:rPr>
          <w:lang w:val="en-US"/>
        </w:rPr>
        <w:t xml:space="preserve">initiatives to promote the use of mercury-free techniques over the years (e.g. trainings </w:t>
      </w:r>
      <w:r w:rsidR="004F0539">
        <w:rPr>
          <w:lang w:val="en-US"/>
        </w:rPr>
        <w:t>from</w:t>
      </w:r>
      <w:r w:rsidR="000F1A91" w:rsidRPr="00943919">
        <w:rPr>
          <w:lang w:val="en-US"/>
        </w:rPr>
        <w:t xml:space="preserve"> WWF)</w:t>
      </w:r>
      <w:r w:rsidRPr="00943919">
        <w:rPr>
          <w:lang w:val="en-US"/>
        </w:rPr>
        <w:t>, but</w:t>
      </w:r>
      <w:r w:rsidR="000F1A91" w:rsidRPr="00943919">
        <w:rPr>
          <w:lang w:val="en-US"/>
        </w:rPr>
        <w:t xml:space="preserve"> these have still been insufficient to promote non-mercury technologies and demonstrations in the field of their effectiveness.</w:t>
      </w:r>
      <w:r w:rsidR="000F1A91" w:rsidRPr="00943919">
        <w:rPr>
          <w:rFonts w:ascii="Times New Roman" w:eastAsia="Times New Roman" w:hAnsi="Times New Roman" w:cs="Times New Roman"/>
          <w:sz w:val="20"/>
          <w:szCs w:val="20"/>
          <w:lang w:val="en-US"/>
        </w:rPr>
        <w:t xml:space="preserve"> </w:t>
      </w:r>
      <w:r w:rsidR="000F1A91" w:rsidRPr="00943919">
        <w:rPr>
          <w:lang w:val="en-US"/>
        </w:rPr>
        <w:t xml:space="preserve">As a </w:t>
      </w:r>
      <w:r w:rsidR="007A5E2B" w:rsidRPr="00943919">
        <w:rPr>
          <w:lang w:val="en-US"/>
        </w:rPr>
        <w:t>result,</w:t>
      </w:r>
      <w:r w:rsidR="007A5E2B">
        <w:rPr>
          <w:lang w:val="en-US"/>
        </w:rPr>
        <w:t xml:space="preserve"> </w:t>
      </w:r>
      <w:r w:rsidR="000F1A91" w:rsidRPr="00943919">
        <w:rPr>
          <w:lang w:val="en-US"/>
        </w:rPr>
        <w:t xml:space="preserve">the Government of Suriname will use the proposed National Action Plan to develop a </w:t>
      </w:r>
      <w:r w:rsidR="007A5E2B">
        <w:rPr>
          <w:lang w:val="en-US"/>
        </w:rPr>
        <w:t xml:space="preserve">detailed </w:t>
      </w:r>
      <w:r w:rsidR="000F1A91" w:rsidRPr="00943919">
        <w:rPr>
          <w:lang w:val="en-US"/>
        </w:rPr>
        <w:t>phased approach which would lead to reduc</w:t>
      </w:r>
      <w:r w:rsidR="007A5E2B">
        <w:rPr>
          <w:lang w:val="en-US"/>
        </w:rPr>
        <w:t>tion in</w:t>
      </w:r>
      <w:r w:rsidR="000F1A91" w:rsidRPr="00943919">
        <w:rPr>
          <w:lang w:val="en-US"/>
        </w:rPr>
        <w:t xml:space="preserve"> use o</w:t>
      </w:r>
      <w:r w:rsidR="007A5E2B">
        <w:rPr>
          <w:lang w:val="en-US"/>
        </w:rPr>
        <w:t>f</w:t>
      </w:r>
      <w:r w:rsidR="000F1A91" w:rsidRPr="00943919">
        <w:rPr>
          <w:lang w:val="en-US"/>
        </w:rPr>
        <w:t xml:space="preserve"> mercury in the ASGM sector</w:t>
      </w:r>
      <w:r w:rsidR="007A5E2B">
        <w:rPr>
          <w:lang w:val="en-US"/>
        </w:rPr>
        <w:t xml:space="preserve"> and finally elimination in </w:t>
      </w:r>
      <w:r w:rsidR="007A5E2B" w:rsidRPr="00943919">
        <w:rPr>
          <w:lang w:val="en-US"/>
        </w:rPr>
        <w:t xml:space="preserve">the </w:t>
      </w:r>
      <w:r w:rsidR="007A5E2B">
        <w:rPr>
          <w:lang w:val="en-US"/>
        </w:rPr>
        <w:t>use of Mercury</w:t>
      </w:r>
      <w:r w:rsidR="00185D0C" w:rsidRPr="00185D0C">
        <w:rPr>
          <w:rStyle w:val="CommentReference"/>
          <w:lang w:val="en-US"/>
        </w:rPr>
        <w:t>.</w:t>
      </w:r>
      <w:r w:rsidRPr="00943919">
        <w:rPr>
          <w:lang w:val="en-US"/>
        </w:rPr>
        <w:t xml:space="preserve"> </w:t>
      </w:r>
    </w:p>
    <w:p w14:paraId="7F10064C" w14:textId="73B3FA76" w:rsidR="00C63FE0" w:rsidRDefault="008E481F" w:rsidP="00943429">
      <w:pPr>
        <w:rPr>
          <w:lang w:val="en-US"/>
        </w:rPr>
      </w:pPr>
      <w:r w:rsidRPr="00943919">
        <w:rPr>
          <w:lang w:val="en-US"/>
        </w:rPr>
        <w:t xml:space="preserve">The ASGM NAP </w:t>
      </w:r>
      <w:r w:rsidR="007A5E2B">
        <w:rPr>
          <w:lang w:val="en-US"/>
        </w:rPr>
        <w:t>is</w:t>
      </w:r>
      <w:r w:rsidRPr="00943919">
        <w:rPr>
          <w:lang w:val="en-US"/>
        </w:rPr>
        <w:t xml:space="preserve"> developed based on the GEF approved ASGM NAP Project Identification Form (PIF) and </w:t>
      </w:r>
      <w:r w:rsidR="007A5E2B">
        <w:rPr>
          <w:lang w:val="en-US"/>
        </w:rPr>
        <w:t xml:space="preserve">per </w:t>
      </w:r>
      <w:r w:rsidRPr="00943919">
        <w:rPr>
          <w:lang w:val="en-US"/>
        </w:rPr>
        <w:t>the UN</w:t>
      </w:r>
      <w:r w:rsidR="007A5E2B">
        <w:rPr>
          <w:lang w:val="en-US"/>
        </w:rPr>
        <w:t xml:space="preserve"> Environment</w:t>
      </w:r>
      <w:r w:rsidRPr="00943919">
        <w:rPr>
          <w:lang w:val="en-US"/>
        </w:rPr>
        <w:t xml:space="preserve"> guidance note on Developing a National Action Plan to Reduce, and Where Feasible, Eliminate Mercury Use in Artisanal and Small Scale Gold Mining.</w:t>
      </w:r>
    </w:p>
    <w:p w14:paraId="2152A60B" w14:textId="340FC0F1" w:rsidR="00C63FE0" w:rsidRDefault="00C63FE0" w:rsidP="00943429">
      <w:pPr>
        <w:rPr>
          <w:lang w:val="en-US"/>
        </w:rPr>
      </w:pPr>
      <w:r w:rsidRPr="00C63FE0">
        <w:rPr>
          <w:lang w:val="en-US"/>
        </w:rPr>
        <w:t xml:space="preserve">The </w:t>
      </w:r>
      <w:r>
        <w:rPr>
          <w:lang w:val="en-US"/>
        </w:rPr>
        <w:t xml:space="preserve">UNEP </w:t>
      </w:r>
      <w:r w:rsidRPr="00C63FE0">
        <w:rPr>
          <w:lang w:val="en-US"/>
        </w:rPr>
        <w:t>guidance</w:t>
      </w:r>
      <w:r>
        <w:rPr>
          <w:lang w:val="en-US"/>
        </w:rPr>
        <w:t xml:space="preserve"> note</w:t>
      </w:r>
      <w:r w:rsidRPr="00C63FE0">
        <w:rPr>
          <w:lang w:val="en-US"/>
        </w:rPr>
        <w:t xml:space="preserve"> has been developed with the intention of addressing ASGM in a holistic manner and includes a review of legal, educational, economic, regulatory and enforcement frameworks</w:t>
      </w:r>
      <w:r w:rsidR="00E75539">
        <w:rPr>
          <w:lang w:val="en-US"/>
        </w:rPr>
        <w:t xml:space="preserve">. It also </w:t>
      </w:r>
      <w:r w:rsidRPr="00C63FE0">
        <w:rPr>
          <w:lang w:val="en-US"/>
        </w:rPr>
        <w:t>provides guidance on developing budgets and work plans and identifying potential sources of funding and partners.</w:t>
      </w:r>
    </w:p>
    <w:p w14:paraId="752777C7" w14:textId="5A9C69D7" w:rsidR="00C63FE0" w:rsidRDefault="008E481F" w:rsidP="00943429">
      <w:pPr>
        <w:rPr>
          <w:lang w:val="en-US"/>
        </w:rPr>
      </w:pPr>
      <w:r w:rsidRPr="00943919">
        <w:rPr>
          <w:lang w:val="en-US"/>
        </w:rPr>
        <w:t>It is also required to align the ASGM NAP with both the Minamata Convention Initial Assessment project (MIA) and the PPG of the GEF Full Size Project (FSP) “Improving Environmental Management in the Mining Sector of Suriname, with Emphasis on Gold Mining</w:t>
      </w:r>
      <w:r w:rsidR="00103F7A">
        <w:rPr>
          <w:lang w:val="en-US"/>
        </w:rPr>
        <w:t>`</w:t>
      </w:r>
      <w:r w:rsidRPr="00943919">
        <w:rPr>
          <w:lang w:val="en-US"/>
        </w:rPr>
        <w:t>.</w:t>
      </w:r>
      <w:r w:rsidR="00185D0C">
        <w:rPr>
          <w:lang w:val="en-US"/>
        </w:rPr>
        <w:t xml:space="preserve"> </w:t>
      </w:r>
      <w:r w:rsidR="00C63FE0" w:rsidRPr="00C63FE0">
        <w:rPr>
          <w:lang w:val="en-US"/>
        </w:rPr>
        <w:t>The outputs of the</w:t>
      </w:r>
      <w:r w:rsidR="00C63FE0">
        <w:rPr>
          <w:lang w:val="en-US"/>
        </w:rPr>
        <w:t xml:space="preserve"> NAP and MIA</w:t>
      </w:r>
      <w:r w:rsidR="00C63FE0" w:rsidRPr="00C63FE0">
        <w:rPr>
          <w:lang w:val="en-US"/>
        </w:rPr>
        <w:t xml:space="preserve"> projects will contribute to the </w:t>
      </w:r>
      <w:r w:rsidR="00C63FE0">
        <w:rPr>
          <w:lang w:val="en-US"/>
        </w:rPr>
        <w:t>PPG project</w:t>
      </w:r>
      <w:r w:rsidR="00C63FE0" w:rsidRPr="00C63FE0">
        <w:rPr>
          <w:lang w:val="en-US"/>
        </w:rPr>
        <w:t xml:space="preserve"> for the ASGM sector</w:t>
      </w:r>
      <w:r w:rsidR="00C63FE0">
        <w:rPr>
          <w:lang w:val="en-US"/>
        </w:rPr>
        <w:t>.</w:t>
      </w:r>
    </w:p>
    <w:p w14:paraId="752245C3" w14:textId="77777777" w:rsidR="00A969F4" w:rsidRPr="00A969F4" w:rsidRDefault="00A969F4" w:rsidP="00D5066D">
      <w:pPr>
        <w:rPr>
          <w:color w:val="ED7D31" w:themeColor="accent2"/>
          <w:lang w:val="en"/>
        </w:rPr>
      </w:pPr>
    </w:p>
    <w:p w14:paraId="4D87D883" w14:textId="24E39267" w:rsidR="008F4F7A" w:rsidRPr="006451BA" w:rsidRDefault="00270CEA" w:rsidP="00AA15F8">
      <w:pPr>
        <w:pStyle w:val="Heading1"/>
        <w:numPr>
          <w:ilvl w:val="0"/>
          <w:numId w:val="26"/>
        </w:numPr>
      </w:pPr>
      <w:bookmarkStart w:id="9" w:name="_Toc487589366"/>
      <w:r w:rsidRPr="006451BA">
        <w:t>STRATEGY</w:t>
      </w:r>
      <w:bookmarkEnd w:id="9"/>
    </w:p>
    <w:p w14:paraId="6F89F141" w14:textId="7D7199C1" w:rsidR="008F4F7A" w:rsidRDefault="00185D0C" w:rsidP="008F4F7A">
      <w:pPr>
        <w:rPr>
          <w:lang w:val="en-US"/>
        </w:rPr>
      </w:pPr>
      <w:r>
        <w:rPr>
          <w:lang w:val="en-US"/>
        </w:rPr>
        <w:t>As mentioned before,</w:t>
      </w:r>
      <w:r w:rsidR="00217C4A">
        <w:rPr>
          <w:lang w:val="en-US"/>
        </w:rPr>
        <w:t xml:space="preserve"> Suriname </w:t>
      </w:r>
      <w:r w:rsidR="007A5E2B">
        <w:rPr>
          <w:lang w:val="en-US"/>
        </w:rPr>
        <w:t>has initiated steps</w:t>
      </w:r>
      <w:r w:rsidR="007A5E2B" w:rsidRPr="008F4F7A">
        <w:rPr>
          <w:lang w:val="en-US"/>
        </w:rPr>
        <w:t xml:space="preserve"> </w:t>
      </w:r>
      <w:r w:rsidR="00FB7202">
        <w:rPr>
          <w:lang w:val="en-US"/>
        </w:rPr>
        <w:t>for</w:t>
      </w:r>
      <w:r w:rsidR="007A5E2B">
        <w:rPr>
          <w:lang w:val="en-US"/>
        </w:rPr>
        <w:t xml:space="preserve"> </w:t>
      </w:r>
      <w:r w:rsidR="008F4F7A" w:rsidRPr="008F4F7A">
        <w:rPr>
          <w:lang w:val="en-US"/>
        </w:rPr>
        <w:t xml:space="preserve">the ratification </w:t>
      </w:r>
      <w:r w:rsidR="00FB7202" w:rsidRPr="008F4F7A">
        <w:rPr>
          <w:lang w:val="en-US"/>
        </w:rPr>
        <w:t>to</w:t>
      </w:r>
      <w:r w:rsidR="008F4F7A" w:rsidRPr="008F4F7A">
        <w:rPr>
          <w:lang w:val="en-US"/>
        </w:rPr>
        <w:t xml:space="preserve"> become a full party of the </w:t>
      </w:r>
      <w:r w:rsidR="00FB7202">
        <w:rPr>
          <w:lang w:val="en-US"/>
        </w:rPr>
        <w:t xml:space="preserve">Minamata </w:t>
      </w:r>
      <w:r w:rsidR="008F4F7A" w:rsidRPr="008F4F7A">
        <w:rPr>
          <w:lang w:val="en-US"/>
        </w:rPr>
        <w:t>Convention. The</w:t>
      </w:r>
      <w:r w:rsidR="00217C4A">
        <w:rPr>
          <w:lang w:val="en-US"/>
        </w:rPr>
        <w:t xml:space="preserve"> NAP</w:t>
      </w:r>
      <w:r w:rsidR="008F4F7A" w:rsidRPr="008F4F7A">
        <w:rPr>
          <w:lang w:val="en-US"/>
        </w:rPr>
        <w:t xml:space="preserve"> will build on,</w:t>
      </w:r>
      <w:r w:rsidR="00E75539">
        <w:rPr>
          <w:lang w:val="en-US"/>
        </w:rPr>
        <w:t xml:space="preserve"> </w:t>
      </w:r>
      <w:r w:rsidR="008F4F7A" w:rsidRPr="008F4F7A">
        <w:rPr>
          <w:lang w:val="en-US"/>
        </w:rPr>
        <w:t xml:space="preserve">and complement the ongoing MIA and </w:t>
      </w:r>
      <w:r w:rsidR="00217C4A">
        <w:rPr>
          <w:lang w:val="en-US"/>
        </w:rPr>
        <w:t xml:space="preserve">Full Size GEF </w:t>
      </w:r>
      <w:r w:rsidR="008F4F7A" w:rsidRPr="008F4F7A">
        <w:rPr>
          <w:lang w:val="en-US"/>
        </w:rPr>
        <w:t>activities and will</w:t>
      </w:r>
      <w:r w:rsidR="00217C4A">
        <w:rPr>
          <w:lang w:val="en-US"/>
        </w:rPr>
        <w:t xml:space="preserve"> p</w:t>
      </w:r>
      <w:r w:rsidR="008F4F7A" w:rsidRPr="008F4F7A">
        <w:rPr>
          <w:lang w:val="en-US"/>
        </w:rPr>
        <w:t xml:space="preserve">rovide the opportunity for </w:t>
      </w:r>
      <w:r w:rsidR="00FB7202">
        <w:rPr>
          <w:lang w:val="en-US"/>
        </w:rPr>
        <w:t xml:space="preserve">more longer-term strategy and policy, whilst </w:t>
      </w:r>
      <w:r w:rsidR="008F4F7A" w:rsidRPr="008F4F7A">
        <w:rPr>
          <w:lang w:val="en-US"/>
        </w:rPr>
        <w:t xml:space="preserve">supporting </w:t>
      </w:r>
      <w:r w:rsidR="00FB7202">
        <w:rPr>
          <w:lang w:val="en-US"/>
        </w:rPr>
        <w:t>medium term</w:t>
      </w:r>
      <w:r w:rsidR="00FB7202" w:rsidRPr="008F4F7A">
        <w:rPr>
          <w:lang w:val="en-US"/>
        </w:rPr>
        <w:t xml:space="preserve"> </w:t>
      </w:r>
      <w:r w:rsidR="008F4F7A" w:rsidRPr="008F4F7A">
        <w:rPr>
          <w:lang w:val="en-US"/>
        </w:rPr>
        <w:t xml:space="preserve">policy enhancements </w:t>
      </w:r>
      <w:r w:rsidR="00FB7202">
        <w:rPr>
          <w:lang w:val="en-US"/>
        </w:rPr>
        <w:t>and</w:t>
      </w:r>
      <w:r w:rsidR="00FB7202" w:rsidRPr="008F4F7A">
        <w:rPr>
          <w:lang w:val="en-US"/>
        </w:rPr>
        <w:t xml:space="preserve"> </w:t>
      </w:r>
      <w:r w:rsidR="008F4F7A" w:rsidRPr="008F4F7A">
        <w:rPr>
          <w:lang w:val="en-US"/>
        </w:rPr>
        <w:t>building capacity for improving monitoring and enforcement of the regulations</w:t>
      </w:r>
      <w:r w:rsidR="00FB7202">
        <w:rPr>
          <w:lang w:val="en-US"/>
        </w:rPr>
        <w:t xml:space="preserve"> </w:t>
      </w:r>
      <w:r w:rsidR="00FB7202" w:rsidRPr="008F4F7A">
        <w:rPr>
          <w:lang w:val="en-US"/>
        </w:rPr>
        <w:t xml:space="preserve">in </w:t>
      </w:r>
      <w:r w:rsidR="00FB7202">
        <w:rPr>
          <w:lang w:val="en-US"/>
        </w:rPr>
        <w:t>Artisanal and S</w:t>
      </w:r>
      <w:r w:rsidR="00FB7202" w:rsidRPr="008F4F7A">
        <w:rPr>
          <w:lang w:val="en-US"/>
        </w:rPr>
        <w:t xml:space="preserve">mall-scale </w:t>
      </w:r>
      <w:r w:rsidR="00FB7202">
        <w:rPr>
          <w:lang w:val="en-US"/>
        </w:rPr>
        <w:t>Gold</w:t>
      </w:r>
      <w:r w:rsidR="00FB7202" w:rsidRPr="008F4F7A">
        <w:rPr>
          <w:lang w:val="en-US"/>
        </w:rPr>
        <w:t>mining</w:t>
      </w:r>
      <w:r w:rsidR="00FB7202">
        <w:rPr>
          <w:lang w:val="en-US"/>
        </w:rPr>
        <w:t>.</w:t>
      </w:r>
    </w:p>
    <w:p w14:paraId="19F93863" w14:textId="5E5212AF" w:rsidR="0018388F" w:rsidRDefault="00DF39DD" w:rsidP="008F4F7A">
      <w:pPr>
        <w:rPr>
          <w:lang w:val="en-US"/>
        </w:rPr>
      </w:pPr>
      <w:r w:rsidRPr="00DF39DD">
        <w:rPr>
          <w:lang w:val="en-US"/>
        </w:rPr>
        <w:t>The proposed N</w:t>
      </w:r>
      <w:r w:rsidR="00270CEA">
        <w:rPr>
          <w:lang w:val="en-US"/>
        </w:rPr>
        <w:t>A</w:t>
      </w:r>
      <w:r w:rsidRPr="00DF39DD">
        <w:rPr>
          <w:lang w:val="en-US"/>
        </w:rPr>
        <w:t xml:space="preserve">P and the project framework, including envisaged </w:t>
      </w:r>
      <w:r w:rsidR="00E25BF7" w:rsidRPr="00DF39DD">
        <w:rPr>
          <w:lang w:val="en-US"/>
        </w:rPr>
        <w:t>activities</w:t>
      </w:r>
      <w:r w:rsidRPr="00DF39DD">
        <w:rPr>
          <w:lang w:val="en-US"/>
        </w:rPr>
        <w:t>, are entirely in line with the GEF Initial Guidelines for Enabling Activities for the Minamata Convention on Mercury (GEF/C.45/Inf.05).</w:t>
      </w:r>
    </w:p>
    <w:p w14:paraId="08F4E57E" w14:textId="23C71A3F" w:rsidR="00DF39DD" w:rsidRDefault="00074F38" w:rsidP="00DF39DD">
      <w:pPr>
        <w:rPr>
          <w:lang w:val="en-US"/>
        </w:rPr>
      </w:pPr>
      <w:r w:rsidRPr="00074F38">
        <w:rPr>
          <w:lang w:val="en-US"/>
        </w:rPr>
        <w:t>This proposed NAP Enabling Activity should enable Suriname to assess the current situation</w:t>
      </w:r>
      <w:r w:rsidR="00E25BF7">
        <w:rPr>
          <w:lang w:val="en-US"/>
        </w:rPr>
        <w:t>,</w:t>
      </w:r>
      <w:r w:rsidRPr="00074F38">
        <w:rPr>
          <w:lang w:val="en-US"/>
        </w:rPr>
        <w:t xml:space="preserve"> determine the national requirements, needs, goals, targets and schedules to reduce/phase-out the use of Mercury (Hg) in the Artisanal </w:t>
      </w:r>
      <w:r w:rsidR="00FB7202">
        <w:rPr>
          <w:lang w:val="en-US"/>
        </w:rPr>
        <w:t xml:space="preserve">and </w:t>
      </w:r>
      <w:r w:rsidRPr="00074F38">
        <w:rPr>
          <w:lang w:val="en-US"/>
        </w:rPr>
        <w:t>Small-Scale Gold Mining (ASGM) sector and processing</w:t>
      </w:r>
      <w:r>
        <w:rPr>
          <w:lang w:val="en-US"/>
        </w:rPr>
        <w:t xml:space="preserve"> </w:t>
      </w:r>
      <w:r w:rsidRPr="00074F38">
        <w:rPr>
          <w:lang w:val="en-US"/>
        </w:rPr>
        <w:t>pertaining to the management of Mercury and to carry out a detailed assessment of the impacts of the Minamata Convention.</w:t>
      </w:r>
    </w:p>
    <w:p w14:paraId="3614B6BD" w14:textId="77777777" w:rsidR="00074F38" w:rsidRDefault="00074F38" w:rsidP="00DF39DD">
      <w:pPr>
        <w:rPr>
          <w:lang w:val="en-US"/>
        </w:rPr>
      </w:pPr>
    </w:p>
    <w:p w14:paraId="53B351B1" w14:textId="77777777" w:rsidR="00DF39DD" w:rsidRPr="006451BA" w:rsidRDefault="00DF39DD" w:rsidP="00AA15F8">
      <w:pPr>
        <w:pStyle w:val="Heading2"/>
        <w:numPr>
          <w:ilvl w:val="1"/>
          <w:numId w:val="26"/>
        </w:numPr>
      </w:pPr>
      <w:bookmarkStart w:id="10" w:name="_Toc487589367"/>
      <w:r w:rsidRPr="006451BA">
        <w:lastRenderedPageBreak/>
        <w:t>Project Objective</w:t>
      </w:r>
      <w:bookmarkEnd w:id="10"/>
    </w:p>
    <w:p w14:paraId="2151D5C2" w14:textId="41B655CB" w:rsidR="00DF39DD" w:rsidRPr="00DF39DD" w:rsidRDefault="00DF39DD" w:rsidP="00DF39DD">
      <w:pPr>
        <w:rPr>
          <w:lang w:val="en-US"/>
        </w:rPr>
      </w:pPr>
      <w:r w:rsidRPr="00DF39DD">
        <w:rPr>
          <w:lang w:val="en-US"/>
        </w:rPr>
        <w:t xml:space="preserve">The project´s objective is to undertake a National Action Plan to enable the Government to determine the national requirements, needs, goals, targets and schedules </w:t>
      </w:r>
      <w:r w:rsidR="00270CEA">
        <w:rPr>
          <w:lang w:val="en-US"/>
        </w:rPr>
        <w:t xml:space="preserve">to </w:t>
      </w:r>
      <w:r w:rsidRPr="00DF39DD">
        <w:rPr>
          <w:lang w:val="en-US"/>
        </w:rPr>
        <w:t>reduce/phase out the use of Mercury (Hg) in the Artis</w:t>
      </w:r>
      <w:r w:rsidR="00834915">
        <w:rPr>
          <w:lang w:val="en-US"/>
        </w:rPr>
        <w:t>a</w:t>
      </w:r>
      <w:r w:rsidRPr="00DF39DD">
        <w:rPr>
          <w:lang w:val="en-US"/>
        </w:rPr>
        <w:t>nal Small-Scale Gold Mining (ASGM) sector and processing.</w:t>
      </w:r>
    </w:p>
    <w:p w14:paraId="5B8240E0" w14:textId="77777777" w:rsidR="00DF39DD" w:rsidRPr="00DF39DD" w:rsidRDefault="00DF39DD" w:rsidP="00DF39DD">
      <w:pPr>
        <w:rPr>
          <w:lang w:val="en-US"/>
        </w:rPr>
      </w:pPr>
      <w:r w:rsidRPr="00DF39DD">
        <w:rPr>
          <w:lang w:val="en-US"/>
        </w:rPr>
        <w:tab/>
      </w:r>
    </w:p>
    <w:p w14:paraId="2EFFC391" w14:textId="77777777" w:rsidR="00DF39DD" w:rsidRPr="006451BA" w:rsidRDefault="00DF39DD" w:rsidP="00AA15F8">
      <w:pPr>
        <w:pStyle w:val="Heading2"/>
        <w:numPr>
          <w:ilvl w:val="1"/>
          <w:numId w:val="26"/>
        </w:numPr>
      </w:pPr>
      <w:bookmarkStart w:id="11" w:name="_Toc487589368"/>
      <w:r w:rsidRPr="006451BA">
        <w:t xml:space="preserve">Project </w:t>
      </w:r>
      <w:r w:rsidR="009B0397" w:rsidRPr="006451BA">
        <w:t>Activity</w:t>
      </w:r>
      <w:r w:rsidRPr="006451BA">
        <w:t xml:space="preserve"> and Goals</w:t>
      </w:r>
      <w:bookmarkEnd w:id="11"/>
    </w:p>
    <w:p w14:paraId="24FE64A0" w14:textId="77777777" w:rsidR="00DF39DD" w:rsidRDefault="00DF39DD" w:rsidP="00DF39DD">
      <w:pPr>
        <w:rPr>
          <w:lang w:val="en-US"/>
        </w:rPr>
      </w:pPr>
      <w:r w:rsidRPr="00DF39DD">
        <w:rPr>
          <w:lang w:val="en-US"/>
        </w:rPr>
        <w:t xml:space="preserve">It will do so </w:t>
      </w:r>
      <w:r w:rsidRPr="00185D0C">
        <w:rPr>
          <w:lang w:val="en-US"/>
        </w:rPr>
        <w:t>by implementing 3 activities</w:t>
      </w:r>
      <w:r w:rsidRPr="00DF39DD">
        <w:rPr>
          <w:lang w:val="en-US"/>
        </w:rPr>
        <w:t xml:space="preserve"> with the goals to be achieved as specified in the GEF guidelines (GEF/C.45/Inf.05 Section 2)</w:t>
      </w:r>
      <w:r>
        <w:rPr>
          <w:lang w:val="en-US"/>
        </w:rPr>
        <w:t>:</w:t>
      </w:r>
    </w:p>
    <w:p w14:paraId="4E670486" w14:textId="77777777" w:rsidR="00DF39DD" w:rsidRPr="00DF39DD" w:rsidRDefault="00DF39DD" w:rsidP="00DF39DD">
      <w:pPr>
        <w:rPr>
          <w:i/>
          <w:lang w:val="en-US"/>
        </w:rPr>
      </w:pPr>
      <w:r w:rsidRPr="00DF39DD">
        <w:rPr>
          <w:i/>
          <w:lang w:val="en-US"/>
        </w:rPr>
        <w:t>1.</w:t>
      </w:r>
      <w:r w:rsidRPr="00DF39DD">
        <w:rPr>
          <w:i/>
          <w:lang w:val="en-US"/>
        </w:rPr>
        <w:tab/>
        <w:t>Assess the Artisanal and Small-scale Gold Mining (ASGM) sector</w:t>
      </w:r>
    </w:p>
    <w:p w14:paraId="61255D92" w14:textId="0A246D9D" w:rsidR="00DF39DD" w:rsidRDefault="00DF39DD" w:rsidP="00DF39DD">
      <w:pPr>
        <w:rPr>
          <w:lang w:val="en-US"/>
        </w:rPr>
      </w:pPr>
      <w:r w:rsidRPr="00DF39DD">
        <w:rPr>
          <w:lang w:val="en-US"/>
        </w:rPr>
        <w:t>The goal is to assess the institutional capacity of governmental institutions and agencies to determine the capacity needs and gaps that exist for the undertaking of inventories and baseline assessments on Hg use, applications and technologies review, to strengthen these institutions and capacity. The assessment will also review the systems needed to report to the Convention under article 7. The assessment will be carried out following general guidelines set under the Article 7 and the Annex C of the Convention.</w:t>
      </w:r>
    </w:p>
    <w:p w14:paraId="61FECB84" w14:textId="77777777" w:rsidR="00DF39DD" w:rsidRPr="00DF39DD" w:rsidRDefault="00DF39DD" w:rsidP="00DF39DD">
      <w:pPr>
        <w:rPr>
          <w:i/>
          <w:lang w:val="en-US"/>
        </w:rPr>
      </w:pPr>
      <w:r w:rsidRPr="00DF39DD">
        <w:rPr>
          <w:i/>
          <w:lang w:val="en-US"/>
        </w:rPr>
        <w:t>2. Develop or strengthen institutions and further promote the reduction/phase-out of mercury use and releases.</w:t>
      </w:r>
    </w:p>
    <w:p w14:paraId="5488E0B6" w14:textId="77777777" w:rsidR="00943919" w:rsidRPr="00185D0C" w:rsidRDefault="00943919" w:rsidP="004636EF">
      <w:pPr>
        <w:rPr>
          <w:lang w:val="en-US"/>
        </w:rPr>
      </w:pPr>
      <w:r w:rsidRPr="00185D0C">
        <w:rPr>
          <w:lang w:val="en-US"/>
        </w:rPr>
        <w:t>This activity will target the identification and development/improvement/strengthening of the institutional capacity gaps and regulatory framework, policies and strategies for the ASGM sector. Proposed actions will be discussed and agreed upon among the key stakeholders through several rounds of discussions.</w:t>
      </w:r>
    </w:p>
    <w:p w14:paraId="12CEEBA8" w14:textId="77777777" w:rsidR="004636EF" w:rsidRPr="00364C06" w:rsidRDefault="004636EF" w:rsidP="00ED7B68">
      <w:pPr>
        <w:rPr>
          <w:shd w:val="clear" w:color="auto" w:fill="FFFFFF"/>
          <w:lang w:val="en-US"/>
        </w:rPr>
      </w:pPr>
      <w:r w:rsidRPr="00364C06">
        <w:rPr>
          <w:shd w:val="clear" w:color="auto" w:fill="FFFFFF"/>
          <w:lang w:val="en-US"/>
        </w:rPr>
        <w:t>The policy and legislative assessment will be undertaken through a review of existing legislation related to Hg use and management, as well as regulatory pieces applicable to ASGM. Mining in general and cross-cutting issues (such as land property where mines are located, licensing systems, gaps and challenges), and identification of the gaps prevalent in association to issues of mercury.</w:t>
      </w:r>
    </w:p>
    <w:p w14:paraId="27334295" w14:textId="77777777" w:rsidR="004636EF" w:rsidRPr="00364C06" w:rsidRDefault="004636EF" w:rsidP="00ED7B68">
      <w:pPr>
        <w:rPr>
          <w:shd w:val="clear" w:color="auto" w:fill="FFFFFF"/>
          <w:lang w:val="en-US"/>
        </w:rPr>
      </w:pPr>
      <w:r w:rsidRPr="00364C06">
        <w:rPr>
          <w:shd w:val="clear" w:color="auto" w:fill="FFFFFF"/>
          <w:lang w:val="en-US"/>
        </w:rPr>
        <w:t>In addition the legislation review will assess the necessary steps for the establishment of a National Mercury Coordination/Consultation Mechanism for ASGM.</w:t>
      </w:r>
    </w:p>
    <w:p w14:paraId="748E0A98" w14:textId="77777777" w:rsidR="004636EF" w:rsidRPr="004636EF" w:rsidRDefault="004636EF" w:rsidP="004636EF">
      <w:pPr>
        <w:pStyle w:val="Default"/>
        <w:rPr>
          <w:rFonts w:asciiTheme="minorHAnsi" w:hAnsiTheme="minorHAnsi" w:cstheme="minorHAnsi"/>
          <w:iCs/>
          <w:sz w:val="22"/>
          <w:szCs w:val="20"/>
          <w:shd w:val="clear" w:color="auto" w:fill="FFFFFF"/>
        </w:rPr>
      </w:pPr>
      <w:r w:rsidRPr="004636EF">
        <w:rPr>
          <w:rFonts w:asciiTheme="minorHAnsi" w:hAnsiTheme="minorHAnsi" w:cstheme="minorHAnsi"/>
          <w:iCs/>
          <w:sz w:val="22"/>
          <w:szCs w:val="20"/>
          <w:shd w:val="clear" w:color="auto" w:fill="FFFFFF"/>
        </w:rPr>
        <w:t>Strategies and policies will also be defined under this component to cope with:</w:t>
      </w:r>
    </w:p>
    <w:p w14:paraId="08395977" w14:textId="185CD95D" w:rsidR="004636EF" w:rsidRPr="004636EF" w:rsidRDefault="004636EF" w:rsidP="004636EF">
      <w:pPr>
        <w:pStyle w:val="Default"/>
        <w:numPr>
          <w:ilvl w:val="0"/>
          <w:numId w:val="17"/>
        </w:numPr>
        <w:rPr>
          <w:rFonts w:asciiTheme="minorHAnsi" w:hAnsiTheme="minorHAnsi" w:cstheme="minorHAnsi"/>
          <w:iCs/>
          <w:sz w:val="22"/>
          <w:szCs w:val="20"/>
          <w:shd w:val="clear" w:color="auto" w:fill="FFFFFF"/>
        </w:rPr>
      </w:pPr>
      <w:r w:rsidRPr="004636EF">
        <w:rPr>
          <w:rFonts w:asciiTheme="minorHAnsi" w:hAnsiTheme="minorHAnsi" w:cstheme="minorHAnsi"/>
          <w:iCs/>
          <w:sz w:val="22"/>
          <w:szCs w:val="20"/>
          <w:shd w:val="clear" w:color="auto" w:fill="FFFFFF"/>
        </w:rPr>
        <w:t>The steps to formalize and regulate the ASGM sector</w:t>
      </w:r>
    </w:p>
    <w:p w14:paraId="1B29E19B" w14:textId="1150FDB7" w:rsidR="004636EF" w:rsidRPr="004636EF" w:rsidRDefault="004636EF" w:rsidP="004636EF">
      <w:pPr>
        <w:pStyle w:val="Default"/>
        <w:numPr>
          <w:ilvl w:val="0"/>
          <w:numId w:val="17"/>
        </w:numPr>
        <w:rPr>
          <w:rFonts w:asciiTheme="minorHAnsi" w:hAnsiTheme="minorHAnsi" w:cstheme="minorHAnsi"/>
          <w:iCs/>
          <w:sz w:val="22"/>
          <w:szCs w:val="20"/>
          <w:shd w:val="clear" w:color="auto" w:fill="FFFFFF"/>
        </w:rPr>
      </w:pPr>
      <w:r w:rsidRPr="004636EF">
        <w:rPr>
          <w:rFonts w:asciiTheme="minorHAnsi" w:hAnsiTheme="minorHAnsi" w:cstheme="minorHAnsi"/>
          <w:iCs/>
          <w:sz w:val="22"/>
          <w:szCs w:val="20"/>
          <w:shd w:val="clear" w:color="auto" w:fill="FFFFFF"/>
        </w:rPr>
        <w:t>The Assessment of methods and technologies to reduce/eliminate the use of HG in ASGM and processing.</w:t>
      </w:r>
    </w:p>
    <w:p w14:paraId="30C0B3B4" w14:textId="6B220F3F" w:rsidR="004636EF" w:rsidRPr="004636EF" w:rsidRDefault="004636EF" w:rsidP="004636EF">
      <w:pPr>
        <w:pStyle w:val="Default"/>
        <w:numPr>
          <w:ilvl w:val="0"/>
          <w:numId w:val="17"/>
        </w:numPr>
        <w:rPr>
          <w:rFonts w:asciiTheme="minorHAnsi" w:hAnsiTheme="minorHAnsi" w:cstheme="minorHAnsi"/>
          <w:iCs/>
          <w:sz w:val="22"/>
          <w:szCs w:val="20"/>
          <w:shd w:val="clear" w:color="auto" w:fill="FFFFFF"/>
        </w:rPr>
      </w:pPr>
      <w:r w:rsidRPr="004636EF">
        <w:rPr>
          <w:rFonts w:asciiTheme="minorHAnsi" w:hAnsiTheme="minorHAnsi" w:cstheme="minorHAnsi"/>
          <w:iCs/>
          <w:sz w:val="22"/>
          <w:szCs w:val="20"/>
          <w:shd w:val="clear" w:color="auto" w:fill="FFFFFF"/>
        </w:rPr>
        <w:t>The management of internal and international trade of Hg and compounds used in ASGM and processing</w:t>
      </w:r>
    </w:p>
    <w:p w14:paraId="6BBAC34D" w14:textId="7BBC01DC" w:rsidR="004636EF" w:rsidRPr="004636EF" w:rsidRDefault="004636EF" w:rsidP="004636EF">
      <w:pPr>
        <w:pStyle w:val="Default"/>
        <w:numPr>
          <w:ilvl w:val="0"/>
          <w:numId w:val="17"/>
        </w:numPr>
        <w:rPr>
          <w:rFonts w:asciiTheme="minorHAnsi" w:hAnsiTheme="minorHAnsi" w:cstheme="minorHAnsi"/>
          <w:iCs/>
          <w:sz w:val="22"/>
          <w:szCs w:val="20"/>
          <w:shd w:val="clear" w:color="auto" w:fill="FFFFFF"/>
        </w:rPr>
      </w:pPr>
      <w:r w:rsidRPr="004636EF">
        <w:rPr>
          <w:rFonts w:asciiTheme="minorHAnsi" w:hAnsiTheme="minorHAnsi" w:cstheme="minorHAnsi"/>
          <w:iCs/>
          <w:sz w:val="22"/>
          <w:szCs w:val="20"/>
          <w:shd w:val="clear" w:color="auto" w:fill="FFFFFF"/>
        </w:rPr>
        <w:t>The involvement of stakeholders and general public in different levels of consultation and awareness related to Hg use and its impact into the environment and health of populations, particular most vulnerable ones )</w:t>
      </w:r>
      <w:r w:rsidR="00834915">
        <w:rPr>
          <w:rFonts w:asciiTheme="minorHAnsi" w:hAnsiTheme="minorHAnsi" w:cstheme="minorHAnsi"/>
          <w:iCs/>
          <w:sz w:val="22"/>
          <w:szCs w:val="20"/>
          <w:shd w:val="clear" w:color="auto" w:fill="FFFFFF"/>
        </w:rPr>
        <w:t xml:space="preserve"> </w:t>
      </w:r>
      <w:r w:rsidRPr="004636EF">
        <w:rPr>
          <w:rFonts w:asciiTheme="minorHAnsi" w:hAnsiTheme="minorHAnsi" w:cstheme="minorHAnsi"/>
          <w:iCs/>
          <w:sz w:val="22"/>
          <w:szCs w:val="20"/>
          <w:shd w:val="clear" w:color="auto" w:fill="FFFFFF"/>
        </w:rPr>
        <w:t>low income families, women and children)</w:t>
      </w:r>
    </w:p>
    <w:p w14:paraId="5DFBD07F" w14:textId="3B103534" w:rsidR="00943919" w:rsidRPr="004636EF" w:rsidRDefault="004636EF" w:rsidP="004636EF">
      <w:pPr>
        <w:pStyle w:val="Default"/>
        <w:numPr>
          <w:ilvl w:val="0"/>
          <w:numId w:val="17"/>
        </w:numPr>
        <w:rPr>
          <w:rFonts w:asciiTheme="minorHAnsi" w:hAnsiTheme="minorHAnsi" w:cstheme="minorHAnsi"/>
          <w:iCs/>
          <w:sz w:val="22"/>
          <w:szCs w:val="20"/>
          <w:shd w:val="clear" w:color="auto" w:fill="FFFFFF"/>
        </w:rPr>
      </w:pPr>
      <w:r w:rsidRPr="004636EF">
        <w:rPr>
          <w:rFonts w:asciiTheme="minorHAnsi" w:hAnsiTheme="minorHAnsi" w:cstheme="minorHAnsi"/>
          <w:iCs/>
          <w:sz w:val="22"/>
          <w:szCs w:val="20"/>
          <w:shd w:val="clear" w:color="auto" w:fill="FFFFFF"/>
        </w:rPr>
        <w:t>An appropriate public health strategy on the exposure of the above mentioned populations.</w:t>
      </w:r>
    </w:p>
    <w:p w14:paraId="24A72F65" w14:textId="77777777" w:rsidR="00943919" w:rsidRDefault="00943919" w:rsidP="00074F38">
      <w:pPr>
        <w:rPr>
          <w:highlight w:val="cyan"/>
          <w:lang w:val="en-US"/>
        </w:rPr>
      </w:pPr>
    </w:p>
    <w:p w14:paraId="46DC4ECE" w14:textId="77777777" w:rsidR="00DF39DD" w:rsidRPr="00DF39DD" w:rsidRDefault="00DF39DD" w:rsidP="00DF39DD">
      <w:pPr>
        <w:rPr>
          <w:i/>
          <w:lang w:val="en-US"/>
        </w:rPr>
      </w:pPr>
      <w:r w:rsidRPr="00DF39DD">
        <w:rPr>
          <w:i/>
          <w:lang w:val="en-US"/>
        </w:rPr>
        <w:t>3. Develop the National Action Plan</w:t>
      </w:r>
    </w:p>
    <w:p w14:paraId="0CC80CBB" w14:textId="77777777" w:rsidR="00DF39DD" w:rsidRPr="00DF39DD" w:rsidRDefault="00DF39DD" w:rsidP="00DF39DD">
      <w:pPr>
        <w:rPr>
          <w:lang w:val="en-US"/>
        </w:rPr>
      </w:pPr>
      <w:r w:rsidRPr="00DF39DD">
        <w:rPr>
          <w:lang w:val="en-US"/>
        </w:rPr>
        <w:t>The ultimate goal of the project will demand the implementation of activities to a National Action Plan, which will be included in the NAP report.</w:t>
      </w:r>
    </w:p>
    <w:p w14:paraId="719D17E1" w14:textId="77777777" w:rsidR="00DF39DD" w:rsidRDefault="00DF39DD" w:rsidP="00DF39DD">
      <w:pPr>
        <w:rPr>
          <w:lang w:val="en-US"/>
        </w:rPr>
      </w:pPr>
      <w:r w:rsidRPr="00DF39DD">
        <w:rPr>
          <w:lang w:val="en-US"/>
        </w:rPr>
        <w:lastRenderedPageBreak/>
        <w:t>The NAP will relate the objectives and targets prepared for Suriname (including proposed policies/regulatory interventions, capacity building and required investment plans and actions) and the roadmap on its implementation formulated, including the schedules and elements for monitoring the progress of implementation.</w:t>
      </w:r>
    </w:p>
    <w:p w14:paraId="32AA0A8D" w14:textId="77777777" w:rsidR="00DF39DD" w:rsidRDefault="00DF39DD" w:rsidP="00DF39DD">
      <w:pPr>
        <w:rPr>
          <w:lang w:val="en-US"/>
        </w:rPr>
      </w:pPr>
    </w:p>
    <w:p w14:paraId="406387C8" w14:textId="77777777" w:rsidR="003816D4" w:rsidRPr="006451BA" w:rsidRDefault="0061306C" w:rsidP="00AA15F8">
      <w:pPr>
        <w:pStyle w:val="Heading1"/>
        <w:numPr>
          <w:ilvl w:val="0"/>
          <w:numId w:val="26"/>
        </w:numPr>
      </w:pPr>
      <w:bookmarkStart w:id="12" w:name="_Toc487589369"/>
      <w:r w:rsidRPr="006451BA">
        <w:t>R</w:t>
      </w:r>
      <w:r w:rsidR="003816D4" w:rsidRPr="006451BA">
        <w:t>esults and Partnerships</w:t>
      </w:r>
      <w:bookmarkEnd w:id="12"/>
    </w:p>
    <w:p w14:paraId="27099C61" w14:textId="01904223" w:rsidR="008B1EED" w:rsidRDefault="008B1EED" w:rsidP="007F54AA">
      <w:pPr>
        <w:rPr>
          <w:lang w:val="en-US"/>
        </w:rPr>
      </w:pPr>
      <w:r w:rsidRPr="008B1EED">
        <w:rPr>
          <w:lang w:val="en-US"/>
        </w:rPr>
        <w:t xml:space="preserve">The project will be implemented through National Implementation Modality (NIM) with the NIMOS as the execution agency. The NIMOS coordinates the work on the Environmental (including Chemical) Management, through the IMAC </w:t>
      </w:r>
      <w:r w:rsidR="00FB2F32">
        <w:rPr>
          <w:lang w:val="en-US"/>
        </w:rPr>
        <w:t xml:space="preserve">or as applicable other multi-stakeholder bodies </w:t>
      </w:r>
      <w:r w:rsidRPr="008B1EED">
        <w:rPr>
          <w:lang w:val="en-US"/>
        </w:rPr>
        <w:t>which includes relevant ministry bodies and representatives from civil society and private sector.</w:t>
      </w:r>
      <w:r>
        <w:rPr>
          <w:lang w:val="en-US"/>
        </w:rPr>
        <w:t xml:space="preserve"> </w:t>
      </w:r>
    </w:p>
    <w:p w14:paraId="0BBB5FCF" w14:textId="10279AFF" w:rsidR="009F0AF5" w:rsidRDefault="00185D0C" w:rsidP="007F54AA">
      <w:pPr>
        <w:rPr>
          <w:lang w:val="en-US"/>
        </w:rPr>
      </w:pPr>
      <w:r w:rsidRPr="00185D0C">
        <w:rPr>
          <w:lang w:val="en-US"/>
        </w:rPr>
        <w:t>The proposed project has been organized into three components composed by its outcomes as follows:</w:t>
      </w:r>
    </w:p>
    <w:p w14:paraId="4F06CF9E" w14:textId="27BFBEB2" w:rsidR="009F0AF5" w:rsidRPr="00787688" w:rsidRDefault="00565095" w:rsidP="00A03CE2">
      <w:pPr>
        <w:pStyle w:val="IntenseQuote"/>
        <w:spacing w:line="240" w:lineRule="auto"/>
        <w:ind w:left="0" w:right="0"/>
        <w:jc w:val="both"/>
        <w:rPr>
          <w:rFonts w:cstheme="minorHAnsi"/>
          <w:i w:val="0"/>
          <w:color w:val="2E74B5" w:themeColor="accent1" w:themeShade="BF"/>
          <w:lang w:val="en-US"/>
        </w:rPr>
      </w:pPr>
      <w:r>
        <w:rPr>
          <w:rFonts w:cstheme="minorHAnsi"/>
          <w:i w:val="0"/>
          <w:color w:val="2E74B5" w:themeColor="accent1" w:themeShade="BF"/>
          <w:lang w:val="en-US"/>
        </w:rPr>
        <w:t xml:space="preserve">Component </w:t>
      </w:r>
      <w:r w:rsidR="009F0AF5" w:rsidRPr="00787688">
        <w:rPr>
          <w:rFonts w:cstheme="minorHAnsi"/>
          <w:i w:val="0"/>
          <w:color w:val="2E74B5" w:themeColor="accent1" w:themeShade="BF"/>
          <w:lang w:val="en-US"/>
        </w:rPr>
        <w:t>1. Develop Mercury Profile in artisanal and</w:t>
      </w:r>
      <w:r w:rsidR="00A03CE2" w:rsidRPr="00787688">
        <w:rPr>
          <w:rFonts w:cstheme="minorHAnsi"/>
          <w:i w:val="0"/>
          <w:color w:val="2E74B5" w:themeColor="accent1" w:themeShade="BF"/>
          <w:lang w:val="en-US"/>
        </w:rPr>
        <w:t xml:space="preserve"> small-scale gold mining (ASGM)</w:t>
      </w:r>
    </w:p>
    <w:p w14:paraId="1F706197" w14:textId="39484E28" w:rsidR="002563DD" w:rsidRPr="002563DD" w:rsidRDefault="00565095" w:rsidP="002563DD">
      <w:pPr>
        <w:pStyle w:val="NoSpacing"/>
        <w:rPr>
          <w:b/>
          <w:i/>
          <w:lang w:val="en-US"/>
        </w:rPr>
      </w:pPr>
      <w:r>
        <w:rPr>
          <w:b/>
          <w:i/>
          <w:lang w:val="en-US"/>
        </w:rPr>
        <w:t xml:space="preserve">Output </w:t>
      </w:r>
      <w:r w:rsidR="002563DD" w:rsidRPr="002563DD">
        <w:rPr>
          <w:b/>
          <w:i/>
          <w:lang w:val="en-US"/>
        </w:rPr>
        <w:t xml:space="preserve">1.1 National capacity built to undertake </w:t>
      </w:r>
      <w:r w:rsidR="002563DD">
        <w:rPr>
          <w:b/>
          <w:i/>
          <w:lang w:val="en-US"/>
        </w:rPr>
        <w:t xml:space="preserve">detailed </w:t>
      </w:r>
      <w:r w:rsidR="002563DD" w:rsidRPr="002563DD">
        <w:rPr>
          <w:b/>
          <w:i/>
          <w:lang w:val="en-US"/>
        </w:rPr>
        <w:t xml:space="preserve">Mercury inventory in ASGM.  </w:t>
      </w:r>
    </w:p>
    <w:p w14:paraId="6B480B69" w14:textId="77777777" w:rsidR="009F0AF5" w:rsidRDefault="009F0AF5" w:rsidP="009F0AF5">
      <w:pPr>
        <w:rPr>
          <w:lang w:val="en-US"/>
        </w:rPr>
      </w:pPr>
      <w:r w:rsidRPr="005C2F40">
        <w:rPr>
          <w:lang w:val="en-US"/>
        </w:rPr>
        <w:t>National capacity to undertake the detailed ASGM mercury inventory and the baseline profile on ASGM will be built through training, which will be conducted and facilitated by the project´s international technical advisor. Training will be provided on data collection, methodologies, reliability, c</w:t>
      </w:r>
      <w:r>
        <w:rPr>
          <w:lang w:val="en-US"/>
        </w:rPr>
        <w:t>redibility, data analysis, etc.</w:t>
      </w:r>
      <w:r>
        <w:rPr>
          <w:lang w:val="en-US"/>
        </w:rPr>
        <w:tab/>
      </w:r>
      <w:r w:rsidRPr="005C2F40">
        <w:rPr>
          <w:lang w:val="en-US"/>
        </w:rPr>
        <w:tab/>
      </w:r>
    </w:p>
    <w:p w14:paraId="45EAA0BF" w14:textId="77777777" w:rsidR="009F0AF5" w:rsidRDefault="009F0AF5" w:rsidP="009F0AF5">
      <w:pPr>
        <w:rPr>
          <w:lang w:val="en-US"/>
        </w:rPr>
      </w:pPr>
      <w:r w:rsidRPr="005C2F40">
        <w:rPr>
          <w:lang w:val="en-US"/>
        </w:rPr>
        <w:t xml:space="preserve">Training will be targeted towards a group of national technical experts who will conduct and develop the ASGM Mercury Profile. Training will also be targeted towards key government representatives who need sufficient knowledge about conducting a Mercury Inventory to be able </w:t>
      </w:r>
      <w:r>
        <w:rPr>
          <w:lang w:val="en-US"/>
        </w:rPr>
        <w:t>to review it and comment on it.</w:t>
      </w:r>
    </w:p>
    <w:p w14:paraId="5A07D673" w14:textId="77777777" w:rsidR="002563DD" w:rsidRDefault="002563DD" w:rsidP="002563DD">
      <w:pPr>
        <w:pStyle w:val="NoSpacing"/>
        <w:rPr>
          <w:b/>
          <w:i/>
          <w:lang w:val="en-US"/>
        </w:rPr>
      </w:pPr>
    </w:p>
    <w:p w14:paraId="51A931A1" w14:textId="57896A7B" w:rsidR="002563DD" w:rsidRDefault="00565095" w:rsidP="002563DD">
      <w:pPr>
        <w:pStyle w:val="NoSpacing"/>
        <w:rPr>
          <w:b/>
          <w:i/>
          <w:lang w:val="en-US"/>
        </w:rPr>
      </w:pPr>
      <w:r>
        <w:rPr>
          <w:b/>
          <w:i/>
          <w:lang w:val="en-US"/>
        </w:rPr>
        <w:t xml:space="preserve">Output </w:t>
      </w:r>
      <w:r w:rsidR="002563DD" w:rsidRPr="002563DD">
        <w:rPr>
          <w:b/>
          <w:i/>
          <w:lang w:val="en-US"/>
        </w:rPr>
        <w:t>1.2 National Mercury Profile available</w:t>
      </w:r>
    </w:p>
    <w:p w14:paraId="1ECB38A0" w14:textId="53B8AD7D" w:rsidR="00062469" w:rsidRPr="00062469" w:rsidRDefault="002F3E64" w:rsidP="00062469">
      <w:pPr>
        <w:rPr>
          <w:lang w:val="en-US"/>
        </w:rPr>
      </w:pPr>
      <w:r>
        <w:rPr>
          <w:lang w:val="en-US"/>
        </w:rPr>
        <w:t>The Minamata Initial Assessment (MIA) also requires a National Mercury Profile. This is a baseline estimate of mercury use regarding all relevant sectors conform the UNEP inventory level 1</w:t>
      </w:r>
      <w:r w:rsidR="00695CBB">
        <w:rPr>
          <w:lang w:val="en-US"/>
        </w:rPr>
        <w:t xml:space="preserve"> or level 2</w:t>
      </w:r>
      <w:r>
        <w:rPr>
          <w:lang w:val="en-US"/>
        </w:rPr>
        <w:t xml:space="preserve">. </w:t>
      </w:r>
      <w:r w:rsidR="00062469">
        <w:rPr>
          <w:lang w:val="en-US"/>
        </w:rPr>
        <w:t>Baseline estimate</w:t>
      </w:r>
      <w:r w:rsidR="00743274">
        <w:rPr>
          <w:lang w:val="en-US"/>
        </w:rPr>
        <w:t>s</w:t>
      </w:r>
      <w:r w:rsidR="00062469">
        <w:rPr>
          <w:lang w:val="en-US"/>
        </w:rPr>
        <w:t xml:space="preserve"> of Mercury use in mining</w:t>
      </w:r>
      <w:r w:rsidR="00743274">
        <w:rPr>
          <w:lang w:val="en-US"/>
        </w:rPr>
        <w:t>,</w:t>
      </w:r>
      <w:r w:rsidR="00062469">
        <w:rPr>
          <w:lang w:val="en-US"/>
        </w:rPr>
        <w:t xml:space="preserve"> enable governments to prioritize and develop effective intervention strategies. ASGM in Suriname operate in the informal economy and this presents special challenges when undertaking field surveys. The Mercury inventory </w:t>
      </w:r>
      <w:r w:rsidR="00743274">
        <w:rPr>
          <w:lang w:val="en-US"/>
        </w:rPr>
        <w:t>in</w:t>
      </w:r>
      <w:r w:rsidR="00062469">
        <w:rPr>
          <w:lang w:val="en-US"/>
        </w:rPr>
        <w:t xml:space="preserve"> ASGM will therefore </w:t>
      </w:r>
      <w:r w:rsidR="00062469" w:rsidRPr="00062469">
        <w:rPr>
          <w:lang w:val="en-US"/>
        </w:rPr>
        <w:t xml:space="preserve">review all </w:t>
      </w:r>
      <w:r w:rsidR="00062469" w:rsidRPr="00715D77">
        <w:rPr>
          <w:lang w:val="en-US"/>
        </w:rPr>
        <w:t xml:space="preserve">the relevant </w:t>
      </w:r>
      <w:r w:rsidR="004A503D" w:rsidRPr="00715D77">
        <w:rPr>
          <w:lang w:val="en-US"/>
        </w:rPr>
        <w:t xml:space="preserve">ASGM </w:t>
      </w:r>
      <w:r w:rsidR="00062469" w:rsidRPr="00715D77">
        <w:rPr>
          <w:lang w:val="en-US"/>
        </w:rPr>
        <w:t xml:space="preserve">sectors </w:t>
      </w:r>
      <w:r w:rsidR="00695CBB">
        <w:rPr>
          <w:lang w:val="en-US"/>
        </w:rPr>
        <w:t>per guidance document “</w:t>
      </w:r>
      <w:r w:rsidR="00695CBB" w:rsidRPr="00695CBB">
        <w:rPr>
          <w:lang w:val="en-US"/>
        </w:rPr>
        <w:t>Developing a National Action Plan to Reduce, and Where Feasible, Eliminate Mercury Use in Artisanal and Small Scale Gold Min</w:t>
      </w:r>
      <w:r w:rsidR="00695CBB">
        <w:rPr>
          <w:lang w:val="en-US"/>
        </w:rPr>
        <w:t>ing”</w:t>
      </w:r>
      <w:r w:rsidR="00695CBB" w:rsidRPr="00695CBB">
        <w:rPr>
          <w:lang w:val="en-US"/>
        </w:rPr>
        <w:t xml:space="preserve"> </w:t>
      </w:r>
      <w:r w:rsidR="00695CBB">
        <w:rPr>
          <w:lang w:val="en-US"/>
        </w:rPr>
        <w:t>and per</w:t>
      </w:r>
      <w:r w:rsidR="00062469" w:rsidRPr="00715D77">
        <w:rPr>
          <w:lang w:val="en-US"/>
        </w:rPr>
        <w:t xml:space="preserve"> UNEP Inventory Level </w:t>
      </w:r>
      <w:r w:rsidR="00E5729E" w:rsidRPr="00715D77">
        <w:rPr>
          <w:lang w:val="en-US"/>
        </w:rPr>
        <w:t>2</w:t>
      </w:r>
      <w:r w:rsidR="00062469" w:rsidRPr="00715D77">
        <w:rPr>
          <w:lang w:val="en-US"/>
        </w:rPr>
        <w:t xml:space="preserve">. </w:t>
      </w:r>
      <w:r w:rsidR="004A503D" w:rsidRPr="00715D77">
        <w:rPr>
          <w:lang w:val="en-US"/>
        </w:rPr>
        <w:t>In addition, the parameters</w:t>
      </w:r>
      <w:r w:rsidR="004A503D">
        <w:rPr>
          <w:lang w:val="en-US"/>
        </w:rPr>
        <w:t xml:space="preserve"> described below will complement t</w:t>
      </w:r>
      <w:r w:rsidR="00062469" w:rsidRPr="00062469">
        <w:rPr>
          <w:lang w:val="en-US"/>
        </w:rPr>
        <w:t>h</w:t>
      </w:r>
      <w:r w:rsidR="004A503D">
        <w:rPr>
          <w:lang w:val="en-US"/>
        </w:rPr>
        <w:t>e</w:t>
      </w:r>
      <w:r w:rsidR="00062469" w:rsidRPr="00062469">
        <w:rPr>
          <w:lang w:val="en-US"/>
        </w:rPr>
        <w:t xml:space="preserve"> inventory:</w:t>
      </w:r>
    </w:p>
    <w:p w14:paraId="75481316" w14:textId="504619A0" w:rsidR="00062469" w:rsidRPr="00062469" w:rsidRDefault="00062469" w:rsidP="00062469">
      <w:pPr>
        <w:pStyle w:val="ListParagraph"/>
        <w:numPr>
          <w:ilvl w:val="0"/>
          <w:numId w:val="25"/>
        </w:numPr>
        <w:rPr>
          <w:lang w:val="en-US"/>
        </w:rPr>
      </w:pPr>
      <w:r w:rsidRPr="00062469">
        <w:rPr>
          <w:lang w:val="en-US"/>
        </w:rPr>
        <w:t>Identification and assessment of the amounts of emission sources of mercury and release sources of mercury to land and water.</w:t>
      </w:r>
    </w:p>
    <w:p w14:paraId="69111F56" w14:textId="5D437ED3" w:rsidR="00062469" w:rsidRPr="00062469" w:rsidRDefault="00062469" w:rsidP="00062469">
      <w:pPr>
        <w:pStyle w:val="ListParagraph"/>
        <w:numPr>
          <w:ilvl w:val="0"/>
          <w:numId w:val="25"/>
        </w:numPr>
        <w:rPr>
          <w:lang w:val="en-US"/>
        </w:rPr>
      </w:pPr>
      <w:r w:rsidRPr="00062469">
        <w:rPr>
          <w:lang w:val="en-US"/>
        </w:rPr>
        <w:t>Identification of old, historical sources of mercury contamination (such as mining sites).</w:t>
      </w:r>
    </w:p>
    <w:p w14:paraId="6303D4F9" w14:textId="20BA3D33" w:rsidR="00062469" w:rsidRDefault="00062469" w:rsidP="00062469">
      <w:pPr>
        <w:pStyle w:val="ListParagraph"/>
        <w:numPr>
          <w:ilvl w:val="0"/>
          <w:numId w:val="25"/>
        </w:numPr>
        <w:rPr>
          <w:lang w:val="en-US"/>
        </w:rPr>
      </w:pPr>
      <w:r w:rsidRPr="00062469">
        <w:rPr>
          <w:lang w:val="en-US"/>
        </w:rPr>
        <w:t>Identification of key sectors, municipalities, communities and other stakeholders affected by or involved with important Mercury sources and/or emissions.</w:t>
      </w:r>
    </w:p>
    <w:p w14:paraId="23CA868D" w14:textId="2FD62C93" w:rsidR="002563DD" w:rsidRDefault="002563DD" w:rsidP="002563DD">
      <w:pPr>
        <w:pStyle w:val="ListParagraph"/>
        <w:numPr>
          <w:ilvl w:val="0"/>
          <w:numId w:val="25"/>
        </w:numPr>
        <w:rPr>
          <w:lang w:val="en-US"/>
        </w:rPr>
      </w:pPr>
      <w:r w:rsidRPr="002563DD">
        <w:rPr>
          <w:lang w:val="en-US"/>
        </w:rPr>
        <w:t>Establish positive relations with miners at key sites</w:t>
      </w:r>
      <w:r>
        <w:rPr>
          <w:lang w:val="en-US"/>
        </w:rPr>
        <w:t xml:space="preserve"> for direct measurements and interviews</w:t>
      </w:r>
      <w:r w:rsidRPr="002563DD">
        <w:rPr>
          <w:lang w:val="en-US"/>
        </w:rPr>
        <w:t>;</w:t>
      </w:r>
    </w:p>
    <w:p w14:paraId="19FE9DC3" w14:textId="4FEBAE59" w:rsidR="002563DD" w:rsidRDefault="002563DD" w:rsidP="002563DD">
      <w:pPr>
        <w:pStyle w:val="ListParagraph"/>
        <w:numPr>
          <w:ilvl w:val="0"/>
          <w:numId w:val="25"/>
        </w:numPr>
        <w:rPr>
          <w:lang w:val="en-US"/>
        </w:rPr>
      </w:pPr>
      <w:r w:rsidRPr="002563DD">
        <w:rPr>
          <w:lang w:val="en-US"/>
        </w:rPr>
        <w:t>Develop a baseline team that understands the technical, social, economic, political, and ore processing context</w:t>
      </w:r>
    </w:p>
    <w:p w14:paraId="1F8C6042" w14:textId="7A15C74D" w:rsidR="002563DD" w:rsidRPr="00062469" w:rsidRDefault="002563DD" w:rsidP="002563DD">
      <w:pPr>
        <w:pStyle w:val="ListParagraph"/>
        <w:numPr>
          <w:ilvl w:val="0"/>
          <w:numId w:val="25"/>
        </w:numPr>
        <w:rPr>
          <w:lang w:val="en-US"/>
        </w:rPr>
      </w:pPr>
      <w:r w:rsidRPr="002563DD">
        <w:rPr>
          <w:lang w:val="en-US"/>
        </w:rPr>
        <w:lastRenderedPageBreak/>
        <w:t>Build the inventory using multiple lines of independent evidence, then repeat to evaluate long-term change</w:t>
      </w:r>
    </w:p>
    <w:p w14:paraId="20348392" w14:textId="5037B2F3" w:rsidR="009F0AF5" w:rsidRPr="005C2F40" w:rsidRDefault="009F0AF5" w:rsidP="009F0AF5">
      <w:pPr>
        <w:rPr>
          <w:lang w:val="en-US"/>
        </w:rPr>
      </w:pPr>
      <w:r w:rsidRPr="005C2F40">
        <w:rPr>
          <w:lang w:val="en-US"/>
        </w:rPr>
        <w:t>The inventory will make use of the UNEP</w:t>
      </w:r>
      <w:r w:rsidR="00AB54A8">
        <w:rPr>
          <w:lang w:val="en-US"/>
        </w:rPr>
        <w:t xml:space="preserve"> guidance document on “</w:t>
      </w:r>
      <w:r w:rsidR="00AB54A8" w:rsidRPr="00AB54A8">
        <w:rPr>
          <w:lang w:val="en-US"/>
        </w:rPr>
        <w:t>Developing a National Action Plan to Reduce, and Where Feasible, Eliminate Mercury Use in Artisanal and Small Scale Gold Mining</w:t>
      </w:r>
      <w:r w:rsidR="00AB54A8">
        <w:rPr>
          <w:lang w:val="en-US"/>
        </w:rPr>
        <w:t xml:space="preserve">” and UNEP </w:t>
      </w:r>
      <w:r w:rsidRPr="005C2F40">
        <w:rPr>
          <w:lang w:val="en-US"/>
        </w:rPr>
        <w:t>`Toolkit for Identification and quantification of Mercury releases</w:t>
      </w:r>
      <w:r w:rsidR="004A503D">
        <w:rPr>
          <w:lang w:val="en-US"/>
        </w:rPr>
        <w:t xml:space="preserve"> level </w:t>
      </w:r>
      <w:r w:rsidR="00E5729E">
        <w:rPr>
          <w:lang w:val="en-US"/>
        </w:rPr>
        <w:t>2</w:t>
      </w:r>
      <w:r w:rsidR="004A503D">
        <w:rPr>
          <w:lang w:val="en-US"/>
        </w:rPr>
        <w:t>´</w:t>
      </w:r>
      <w:r w:rsidRPr="005C2F40">
        <w:rPr>
          <w:lang w:val="en-US"/>
        </w:rPr>
        <w:t xml:space="preserve">, which is intended to assist countries to develop a national mercury releases </w:t>
      </w:r>
      <w:r w:rsidR="002F3E64">
        <w:rPr>
          <w:lang w:val="en-US"/>
        </w:rPr>
        <w:t>i</w:t>
      </w:r>
      <w:r w:rsidRPr="005C2F40">
        <w:rPr>
          <w:lang w:val="en-US"/>
        </w:rPr>
        <w:t xml:space="preserve">nventory. </w:t>
      </w:r>
      <w:r w:rsidR="00AB54A8">
        <w:rPr>
          <w:lang w:val="en-US"/>
        </w:rPr>
        <w:t>The level 2 toolkit</w:t>
      </w:r>
      <w:r w:rsidRPr="005C2F40">
        <w:rPr>
          <w:lang w:val="en-US"/>
        </w:rPr>
        <w:t xml:space="preserve"> provides a standardized methodology and accompanying database enabling the development of consistent national and regional mercury inventories.</w:t>
      </w:r>
    </w:p>
    <w:p w14:paraId="19A8345C" w14:textId="77777777" w:rsidR="009F0AF5" w:rsidRPr="005C2F40" w:rsidRDefault="009F0AF5" w:rsidP="009F0AF5">
      <w:pPr>
        <w:rPr>
          <w:lang w:val="en-US"/>
        </w:rPr>
      </w:pPr>
      <w:r w:rsidRPr="005C2F40">
        <w:rPr>
          <w:lang w:val="en-US"/>
        </w:rPr>
        <w:t>Throughout the data collection, analysis and preparation of the Mercury Inventory, the national expert team will be guided by an international technical advisor.</w:t>
      </w:r>
    </w:p>
    <w:p w14:paraId="14DC1C2C" w14:textId="74C9FE61" w:rsidR="009F0AF5" w:rsidRDefault="009F0AF5" w:rsidP="009F0AF5">
      <w:pPr>
        <w:rPr>
          <w:lang w:val="en-US"/>
        </w:rPr>
      </w:pPr>
      <w:r w:rsidRPr="005C2F40">
        <w:rPr>
          <w:lang w:val="en-US"/>
        </w:rPr>
        <w:t>After completion of the data gathering stage, an ASGM Mercury Profile, including significant sources of emissions and releases, as we</w:t>
      </w:r>
      <w:r w:rsidR="002F3E64">
        <w:rPr>
          <w:lang w:val="en-US"/>
        </w:rPr>
        <w:t>ll as inventories of mercury co</w:t>
      </w:r>
      <w:r w:rsidRPr="005C2F40">
        <w:rPr>
          <w:lang w:val="en-US"/>
        </w:rPr>
        <w:t>mpounds, will be prepared for review, approval and adoption during a national stakeholder workshop.</w:t>
      </w:r>
    </w:p>
    <w:p w14:paraId="34F54B82" w14:textId="77777777" w:rsidR="00062469" w:rsidRDefault="00062469" w:rsidP="009F0AF5">
      <w:pPr>
        <w:rPr>
          <w:b/>
          <w:lang w:val="en-US"/>
        </w:rPr>
      </w:pPr>
    </w:p>
    <w:p w14:paraId="36402120" w14:textId="6F1BFE11" w:rsidR="00695CBB" w:rsidRDefault="00565095" w:rsidP="00364C06">
      <w:pPr>
        <w:pStyle w:val="IntenseQuote"/>
        <w:ind w:left="0" w:right="0"/>
        <w:jc w:val="both"/>
        <w:rPr>
          <w:lang w:val="en-US"/>
        </w:rPr>
      </w:pPr>
      <w:r>
        <w:rPr>
          <w:i w:val="0"/>
          <w:color w:val="2E74B5" w:themeColor="accent1" w:themeShade="BF"/>
          <w:lang w:val="en-US"/>
        </w:rPr>
        <w:t xml:space="preserve">Component </w:t>
      </w:r>
      <w:r w:rsidR="009F0AF5" w:rsidRPr="00787688">
        <w:rPr>
          <w:i w:val="0"/>
          <w:color w:val="2E74B5" w:themeColor="accent1" w:themeShade="BF"/>
          <w:lang w:val="en-US"/>
        </w:rPr>
        <w:t xml:space="preserve">2. Strengthen institutional capacities </w:t>
      </w:r>
      <w:r>
        <w:rPr>
          <w:i w:val="0"/>
          <w:color w:val="2E74B5" w:themeColor="accent1" w:themeShade="BF"/>
          <w:lang w:val="en-US"/>
        </w:rPr>
        <w:t xml:space="preserve">and prepare National Action Plan (NAP), with agreed schedule </w:t>
      </w:r>
      <w:r w:rsidR="009F0AF5" w:rsidRPr="00787688">
        <w:rPr>
          <w:i w:val="0"/>
          <w:color w:val="2E74B5" w:themeColor="accent1" w:themeShade="BF"/>
          <w:lang w:val="en-US"/>
        </w:rPr>
        <w:t>to achieve the reduction of emissions and releases of, and exposure to, mercury in ASGM sector and processing, including mercury-free methods</w:t>
      </w:r>
      <w:r>
        <w:rPr>
          <w:i w:val="0"/>
          <w:color w:val="2E74B5" w:themeColor="accent1" w:themeShade="BF"/>
          <w:lang w:val="en-US"/>
        </w:rPr>
        <w:t xml:space="preserve"> </w:t>
      </w:r>
    </w:p>
    <w:p w14:paraId="41BF9CD5" w14:textId="78BA0147" w:rsidR="009F0AF5" w:rsidRPr="00743274" w:rsidRDefault="00565095" w:rsidP="009F0AF5">
      <w:pPr>
        <w:pStyle w:val="NoSpacing"/>
        <w:rPr>
          <w:b/>
          <w:i/>
          <w:lang w:val="en-US"/>
        </w:rPr>
      </w:pPr>
      <w:r>
        <w:rPr>
          <w:b/>
          <w:i/>
          <w:lang w:val="en-US"/>
        </w:rPr>
        <w:t xml:space="preserve">Output </w:t>
      </w:r>
      <w:r w:rsidR="009F0AF5" w:rsidRPr="00743274">
        <w:rPr>
          <w:b/>
          <w:i/>
          <w:lang w:val="en-US"/>
        </w:rPr>
        <w:t>2.1 Legal and regulatory status of ASGM in Suriname reviewed, including land property rights and use permits in mining areas and licensing procedures.</w:t>
      </w:r>
      <w:r w:rsidR="009F0AF5" w:rsidRPr="00743274">
        <w:rPr>
          <w:b/>
          <w:i/>
          <w:lang w:val="en-US"/>
        </w:rPr>
        <w:tab/>
        <w:t xml:space="preserve"> </w:t>
      </w:r>
    </w:p>
    <w:p w14:paraId="6EF07A82" w14:textId="77777777" w:rsidR="009F0AF5" w:rsidRPr="005C2F40" w:rsidRDefault="009F0AF5" w:rsidP="009F0AF5">
      <w:pPr>
        <w:rPr>
          <w:lang w:val="en-US"/>
        </w:rPr>
      </w:pPr>
      <w:r w:rsidRPr="005C2F40">
        <w:rPr>
          <w:lang w:val="en-US"/>
        </w:rPr>
        <w:t>The work will begin with a review of the structures, institutions, policies and regulations already in place:</w:t>
      </w:r>
    </w:p>
    <w:p w14:paraId="1A98B2FB" w14:textId="77777777" w:rsidR="009F0AF5" w:rsidRPr="005C2F40" w:rsidRDefault="009F0AF5" w:rsidP="009F0AF5">
      <w:pPr>
        <w:pStyle w:val="ListParagraph"/>
        <w:numPr>
          <w:ilvl w:val="0"/>
          <w:numId w:val="3"/>
        </w:numPr>
        <w:rPr>
          <w:lang w:val="en-US"/>
        </w:rPr>
      </w:pPr>
      <w:r w:rsidRPr="005C2F40">
        <w:rPr>
          <w:lang w:val="en-US"/>
        </w:rPr>
        <w:t>Legislation on the governance of ASGM in general and the capacities of the key institutions will be the initial focus.</w:t>
      </w:r>
    </w:p>
    <w:p w14:paraId="6F17146F" w14:textId="77777777" w:rsidR="009F0AF5" w:rsidRPr="005C2F40" w:rsidRDefault="009F0AF5" w:rsidP="009F0AF5">
      <w:pPr>
        <w:pStyle w:val="ListParagraph"/>
        <w:numPr>
          <w:ilvl w:val="0"/>
          <w:numId w:val="3"/>
        </w:numPr>
        <w:rPr>
          <w:lang w:val="en-US"/>
        </w:rPr>
      </w:pPr>
      <w:r w:rsidRPr="005C2F40">
        <w:rPr>
          <w:lang w:val="en-US"/>
        </w:rPr>
        <w:t>Legislation on the use of Hg in general and specifically related to the mining sector.</w:t>
      </w:r>
    </w:p>
    <w:p w14:paraId="6377CA94" w14:textId="77777777" w:rsidR="009F0AF5" w:rsidRPr="005C2F40" w:rsidRDefault="009F0AF5" w:rsidP="009F0AF5">
      <w:pPr>
        <w:pStyle w:val="ListParagraph"/>
        <w:numPr>
          <w:ilvl w:val="0"/>
          <w:numId w:val="3"/>
        </w:numPr>
        <w:rPr>
          <w:lang w:val="en-US"/>
        </w:rPr>
      </w:pPr>
      <w:r w:rsidRPr="005C2F40">
        <w:rPr>
          <w:lang w:val="en-US"/>
        </w:rPr>
        <w:t>Review of existing legislation, identifications of gaps for meeting the Minamata Convention requirements and initial technical input on proposed amendments.</w:t>
      </w:r>
    </w:p>
    <w:p w14:paraId="05A36B1B" w14:textId="77777777" w:rsidR="009F0AF5" w:rsidRPr="005C2F40" w:rsidRDefault="009F0AF5" w:rsidP="009F0AF5">
      <w:pPr>
        <w:pStyle w:val="ListParagraph"/>
        <w:numPr>
          <w:ilvl w:val="0"/>
          <w:numId w:val="3"/>
        </w:numPr>
        <w:rPr>
          <w:lang w:val="en-US"/>
        </w:rPr>
      </w:pPr>
      <w:r w:rsidRPr="005C2F40">
        <w:rPr>
          <w:lang w:val="en-US"/>
        </w:rPr>
        <w:t>Roles of other ministries and institutions related to key sectors where mercury inventory establishes the presence of mercury use, emissions and/or releases are to be analyzed. Capacities of these institutions will be reviewed and the gaps for comprehensive management of mercury issues will be identifie</w:t>
      </w:r>
      <w:r>
        <w:rPr>
          <w:lang w:val="en-US"/>
        </w:rPr>
        <w:t>d.</w:t>
      </w:r>
    </w:p>
    <w:p w14:paraId="6950AE64" w14:textId="145D5951" w:rsidR="009F0AF5" w:rsidRPr="00743274" w:rsidRDefault="00565095" w:rsidP="009F0AF5">
      <w:pPr>
        <w:pStyle w:val="NoSpacing"/>
        <w:rPr>
          <w:b/>
          <w:i/>
          <w:lang w:val="en-US"/>
        </w:rPr>
      </w:pPr>
      <w:r>
        <w:rPr>
          <w:b/>
          <w:i/>
          <w:lang w:val="en-US"/>
        </w:rPr>
        <w:t xml:space="preserve">Output </w:t>
      </w:r>
      <w:r w:rsidR="009F0AF5" w:rsidRPr="00743274">
        <w:rPr>
          <w:b/>
          <w:i/>
          <w:lang w:val="en-US"/>
        </w:rPr>
        <w:t>2.</w:t>
      </w:r>
      <w:r w:rsidR="00695CBB">
        <w:rPr>
          <w:b/>
          <w:i/>
          <w:lang w:val="en-US"/>
        </w:rPr>
        <w:t>2</w:t>
      </w:r>
      <w:r w:rsidR="00695CBB" w:rsidRPr="00743274">
        <w:rPr>
          <w:b/>
          <w:i/>
          <w:lang w:val="en-US"/>
        </w:rPr>
        <w:t xml:space="preserve"> </w:t>
      </w:r>
      <w:r w:rsidR="009F0AF5" w:rsidRPr="00743274">
        <w:rPr>
          <w:b/>
          <w:i/>
          <w:lang w:val="en-US"/>
        </w:rPr>
        <w:t>Strategies and policies for reducing emissions and releases of Hg assessed</w:t>
      </w:r>
    </w:p>
    <w:p w14:paraId="573F2C63" w14:textId="6F524D90" w:rsidR="009F0AF5" w:rsidRDefault="009F0AF5" w:rsidP="009F0AF5">
      <w:pPr>
        <w:rPr>
          <w:lang w:val="en-US"/>
        </w:rPr>
      </w:pPr>
      <w:r w:rsidRPr="00743274">
        <w:rPr>
          <w:lang w:val="en-US"/>
        </w:rPr>
        <w:t>National capacity built</w:t>
      </w:r>
      <w:r w:rsidRPr="005C2F40">
        <w:rPr>
          <w:lang w:val="en-US"/>
        </w:rPr>
        <w:t xml:space="preserve">/established/improved in line with existing structures and </w:t>
      </w:r>
      <w:r w:rsidR="00743274" w:rsidRPr="005C2F40">
        <w:rPr>
          <w:lang w:val="en-US"/>
        </w:rPr>
        <w:t>practices</w:t>
      </w:r>
      <w:r w:rsidRPr="005C2F40">
        <w:rPr>
          <w:lang w:val="en-US"/>
        </w:rPr>
        <w:t xml:space="preserve"> present in </w:t>
      </w:r>
      <w:r w:rsidR="00A03CE2">
        <w:rPr>
          <w:lang w:val="en-US"/>
        </w:rPr>
        <w:t>Suriname</w:t>
      </w:r>
      <w:r w:rsidRPr="005C2F40">
        <w:rPr>
          <w:lang w:val="en-US"/>
        </w:rPr>
        <w:t xml:space="preserve"> and </w:t>
      </w:r>
      <w:r w:rsidRPr="00743274">
        <w:rPr>
          <w:lang w:val="en-US"/>
        </w:rPr>
        <w:t>where feasible will build/expand on similar structures</w:t>
      </w:r>
      <w:r w:rsidRPr="005C2F40">
        <w:rPr>
          <w:lang w:val="en-US"/>
        </w:rPr>
        <w:t xml:space="preserve"> established in support of other chemicals-related MEAs and coopering with other Mercury-related projects.</w:t>
      </w:r>
      <w:r w:rsidR="00AB586E">
        <w:rPr>
          <w:lang w:val="en-US"/>
        </w:rPr>
        <w:t xml:space="preserve"> The strategies and policies will be based on the sound </w:t>
      </w:r>
      <w:r w:rsidR="00AB586E" w:rsidRPr="002A14C9">
        <w:rPr>
          <w:lang w:val="en-US"/>
        </w:rPr>
        <w:t xml:space="preserve">baseline estimations (output </w:t>
      </w:r>
      <w:r w:rsidR="002A14C9" w:rsidRPr="002A14C9">
        <w:rPr>
          <w:lang w:val="en-US"/>
        </w:rPr>
        <w:t>1.2)</w:t>
      </w:r>
      <w:r w:rsidR="00AB586E">
        <w:rPr>
          <w:lang w:val="en-US"/>
        </w:rPr>
        <w:t xml:space="preserve"> and can include immediate and long-term strategies.</w:t>
      </w:r>
    </w:p>
    <w:p w14:paraId="393984F1" w14:textId="2358EE31" w:rsidR="00A03CE2" w:rsidRPr="00715D77" w:rsidRDefault="00A03CE2" w:rsidP="00D845BA">
      <w:pPr>
        <w:spacing w:before="240"/>
        <w:rPr>
          <w:lang w:val="en-US"/>
        </w:rPr>
      </w:pPr>
      <w:r w:rsidRPr="00715D77">
        <w:rPr>
          <w:lang w:val="en-US"/>
        </w:rPr>
        <w:t>Taking the above in consideration, the most effective way to reduce emissions, releases and exposures is to reduce and, where feasible, eliminate the u</w:t>
      </w:r>
      <w:r w:rsidR="00AC19D6" w:rsidRPr="00715D77">
        <w:rPr>
          <w:lang w:val="en-US"/>
        </w:rPr>
        <w:t>se of mercury in ASGM, by transition</w:t>
      </w:r>
      <w:r w:rsidRPr="00715D77">
        <w:rPr>
          <w:lang w:val="en-US"/>
        </w:rPr>
        <w:t>ing miners to mercury-free techniques, and where this is not feasible, to lower</w:t>
      </w:r>
      <w:r w:rsidR="00D845BA" w:rsidRPr="00715D77">
        <w:rPr>
          <w:lang w:val="en-US"/>
        </w:rPr>
        <w:t>-</w:t>
      </w:r>
      <w:r w:rsidRPr="00715D77">
        <w:rPr>
          <w:lang w:val="en-US"/>
        </w:rPr>
        <w:t xml:space="preserve">mercury concentrate amalgamation. </w:t>
      </w:r>
      <w:r w:rsidR="00AC19D6" w:rsidRPr="00715D77">
        <w:rPr>
          <w:lang w:val="en-US"/>
        </w:rPr>
        <w:t>Suriname has</w:t>
      </w:r>
      <w:r w:rsidR="00AB586E" w:rsidRPr="00715D77">
        <w:rPr>
          <w:lang w:val="en-US"/>
        </w:rPr>
        <w:t xml:space="preserve"> therefore</w:t>
      </w:r>
      <w:r w:rsidR="00AC19D6" w:rsidRPr="00715D77">
        <w:rPr>
          <w:lang w:val="en-US"/>
        </w:rPr>
        <w:t xml:space="preserve"> the intention to establish Mining schools </w:t>
      </w:r>
      <w:r w:rsidR="009D1B21">
        <w:rPr>
          <w:lang w:val="en-US"/>
        </w:rPr>
        <w:t xml:space="preserve">or Mining Service </w:t>
      </w:r>
      <w:r w:rsidR="009D1B21">
        <w:rPr>
          <w:lang w:val="en-US"/>
        </w:rPr>
        <w:lastRenderedPageBreak/>
        <w:t xml:space="preserve">Centres </w:t>
      </w:r>
      <w:r w:rsidR="00AC19D6" w:rsidRPr="00715D77">
        <w:rPr>
          <w:lang w:val="en-US"/>
        </w:rPr>
        <w:t>in mining locations</w:t>
      </w:r>
      <w:r w:rsidR="00AC19D6">
        <w:rPr>
          <w:lang w:val="en-US"/>
        </w:rPr>
        <w:t xml:space="preserve"> as mentioned in the PIF final draft of the GEF Full-Sized project ´</w:t>
      </w:r>
      <w:r w:rsidR="00AC19D6" w:rsidRPr="00AC19D6">
        <w:rPr>
          <w:lang w:val="en-US"/>
        </w:rPr>
        <w:t>Improving Environmental Management in the Mining Sector of Suriname, with Emphasis on Gold Mining</w:t>
      </w:r>
      <w:r w:rsidR="00AC19D6">
        <w:rPr>
          <w:lang w:val="en-US"/>
        </w:rPr>
        <w:t xml:space="preserve">`. </w:t>
      </w:r>
      <w:r w:rsidR="002A14C9" w:rsidRPr="00715D77">
        <w:rPr>
          <w:lang w:val="en-US"/>
        </w:rPr>
        <w:t xml:space="preserve">Within the NAP a pilot </w:t>
      </w:r>
      <w:r w:rsidR="00011B5C" w:rsidRPr="00715D77">
        <w:rPr>
          <w:lang w:val="en-US"/>
        </w:rPr>
        <w:t xml:space="preserve">study for a </w:t>
      </w:r>
      <w:r w:rsidR="009D1B21">
        <w:rPr>
          <w:lang w:val="en-US"/>
        </w:rPr>
        <w:t>M</w:t>
      </w:r>
      <w:r w:rsidR="00011B5C" w:rsidRPr="00715D77">
        <w:rPr>
          <w:lang w:val="en-US"/>
        </w:rPr>
        <w:t>ining school</w:t>
      </w:r>
      <w:r w:rsidR="009D1B21">
        <w:rPr>
          <w:lang w:val="en-US"/>
        </w:rPr>
        <w:t>/ Mining service Centre</w:t>
      </w:r>
      <w:r w:rsidR="00011B5C" w:rsidRPr="00715D77">
        <w:rPr>
          <w:lang w:val="en-US"/>
        </w:rPr>
        <w:t xml:space="preserve"> will be conducted, </w:t>
      </w:r>
      <w:r w:rsidR="002A14C9" w:rsidRPr="00715D77">
        <w:rPr>
          <w:lang w:val="en-US"/>
        </w:rPr>
        <w:t xml:space="preserve">whereby miners and equipment </w:t>
      </w:r>
      <w:r w:rsidR="00332FAE" w:rsidRPr="00715D77">
        <w:rPr>
          <w:lang w:val="en-US"/>
        </w:rPr>
        <w:t xml:space="preserve">distributers will benefit from </w:t>
      </w:r>
      <w:r w:rsidR="0076768E" w:rsidRPr="00715D77">
        <w:rPr>
          <w:lang w:val="en-US"/>
        </w:rPr>
        <w:t xml:space="preserve">training programs offering </w:t>
      </w:r>
      <w:r w:rsidR="00DF39CD" w:rsidRPr="00715D77">
        <w:rPr>
          <w:lang w:val="en-US"/>
        </w:rPr>
        <w:t>promotion of mining methods that reduce environmental impact while at the same time increasing gold recovery rates will enhance financial sustainability.</w:t>
      </w:r>
      <w:r w:rsidR="00011B5C" w:rsidRPr="00715D77">
        <w:rPr>
          <w:lang w:val="en-US"/>
        </w:rPr>
        <w:t xml:space="preserve"> To determine to what extend capacity building through the mining school can be sustained, key-stakeholders such as UNASAT and the University of Suriname (AdeKUS) will be involved in the pilot study. The output of this study will serve as input for the PPG project.</w:t>
      </w:r>
    </w:p>
    <w:p w14:paraId="7C51F485" w14:textId="12E998C2" w:rsidR="008E0533" w:rsidRDefault="008E0533" w:rsidP="008E0533">
      <w:pPr>
        <w:tabs>
          <w:tab w:val="left" w:pos="1348"/>
        </w:tabs>
        <w:spacing w:before="240"/>
        <w:rPr>
          <w:lang w:val="en-US"/>
        </w:rPr>
      </w:pPr>
      <w:r w:rsidRPr="00715D77">
        <w:rPr>
          <w:lang w:val="en-US"/>
        </w:rPr>
        <w:t>In addition, Suriname wishes to have a formal platform</w:t>
      </w:r>
      <w:r w:rsidR="00CD401D" w:rsidRPr="00715D77">
        <w:rPr>
          <w:lang w:val="en-US"/>
        </w:rPr>
        <w:t xml:space="preserve"> </w:t>
      </w:r>
      <w:r w:rsidRPr="00715D77">
        <w:rPr>
          <w:lang w:val="en-US"/>
        </w:rPr>
        <w:t xml:space="preserve">for easily sharing data and information collected </w:t>
      </w:r>
      <w:r w:rsidR="00CD401D" w:rsidRPr="00715D77">
        <w:rPr>
          <w:lang w:val="en-US"/>
        </w:rPr>
        <w:t>during the NAP en MIA implementation, and also during other relevant initiatives conducted through NGO´s (e.g. WWF) and other governmental institutions. Alignment of the initiatives with the MIA and NAP is necessary. The platform will provide an opportunity for stakeholders to share information and also review and comment on information provided by others.</w:t>
      </w:r>
    </w:p>
    <w:p w14:paraId="794915AE" w14:textId="1FEECEC9" w:rsidR="004F0539" w:rsidRPr="004F0539" w:rsidRDefault="004F0539" w:rsidP="00D845BA">
      <w:pPr>
        <w:spacing w:before="240"/>
        <w:rPr>
          <w:lang w:val="en-US"/>
        </w:rPr>
      </w:pPr>
      <w:r w:rsidRPr="00715D77">
        <w:rPr>
          <w:lang w:val="en-US"/>
        </w:rPr>
        <w:t xml:space="preserve">As mentioned before, the Mercury Free Partnership (MFP) was established in 2014, although currently inactive. An assessment will be undertaken to determine whether </w:t>
      </w:r>
      <w:r w:rsidR="002601A1">
        <w:rPr>
          <w:lang w:val="en-US"/>
        </w:rPr>
        <w:t xml:space="preserve">similar partnership for the reduction and phase out of Mercury use </w:t>
      </w:r>
      <w:r w:rsidRPr="00715D77">
        <w:rPr>
          <w:lang w:val="en-US"/>
        </w:rPr>
        <w:t>can be</w:t>
      </w:r>
      <w:r w:rsidR="009855B5" w:rsidRPr="00715D77">
        <w:rPr>
          <w:lang w:val="en-US"/>
        </w:rPr>
        <w:t xml:space="preserve"> established and under what conditions.</w:t>
      </w:r>
      <w:r w:rsidRPr="00715D77">
        <w:rPr>
          <w:lang w:val="en-US"/>
        </w:rPr>
        <w:t xml:space="preserve"> </w:t>
      </w:r>
      <w:r w:rsidR="009855B5" w:rsidRPr="00715D77">
        <w:rPr>
          <w:lang w:val="en-US"/>
        </w:rPr>
        <w:t>Suggested members can be Ministry of NH (with the OGS), Ministry of Health</w:t>
      </w:r>
      <w:r w:rsidR="00CD7242">
        <w:rPr>
          <w:lang w:val="en-US"/>
        </w:rPr>
        <w:t xml:space="preserve"> (MoH), </w:t>
      </w:r>
      <w:r w:rsidRPr="00715D77">
        <w:rPr>
          <w:lang w:val="en-US"/>
        </w:rPr>
        <w:t>the Bureau for Public Health</w:t>
      </w:r>
      <w:r w:rsidR="00CD7242">
        <w:rPr>
          <w:lang w:val="en-US"/>
        </w:rPr>
        <w:t xml:space="preserve"> (BOG)</w:t>
      </w:r>
      <w:r w:rsidRPr="00715D77">
        <w:rPr>
          <w:lang w:val="en-US"/>
        </w:rPr>
        <w:t xml:space="preserve">, </w:t>
      </w:r>
      <w:r w:rsidR="009855B5" w:rsidRPr="00715D77">
        <w:rPr>
          <w:lang w:val="en-US"/>
        </w:rPr>
        <w:t xml:space="preserve">Ministry of trade, </w:t>
      </w:r>
      <w:r w:rsidRPr="00715D77">
        <w:rPr>
          <w:lang w:val="en-US"/>
        </w:rPr>
        <w:t xml:space="preserve">the NIMOS, </w:t>
      </w:r>
      <w:r w:rsidR="009855B5" w:rsidRPr="00715D77">
        <w:rPr>
          <w:lang w:val="en-US"/>
        </w:rPr>
        <w:t xml:space="preserve">UNDP, WWF-Guianas </w:t>
      </w:r>
      <w:r w:rsidR="002601A1">
        <w:rPr>
          <w:lang w:val="en-US"/>
        </w:rPr>
        <w:t xml:space="preserve">and ARM, AGC, Medical Mission, Radboud University </w:t>
      </w:r>
      <w:r w:rsidR="009855B5" w:rsidRPr="00715D77">
        <w:rPr>
          <w:lang w:val="en-US"/>
        </w:rPr>
        <w:t>and the</w:t>
      </w:r>
      <w:r w:rsidRPr="00715D77">
        <w:rPr>
          <w:lang w:val="en-US"/>
        </w:rPr>
        <w:t xml:space="preserve"> University o</w:t>
      </w:r>
      <w:r w:rsidR="009855B5" w:rsidRPr="00715D77">
        <w:rPr>
          <w:lang w:val="en-US"/>
        </w:rPr>
        <w:t>f Suriname (AdeKUS)</w:t>
      </w:r>
      <w:r w:rsidR="002601A1">
        <w:rPr>
          <w:lang w:val="en-US"/>
        </w:rPr>
        <w:t>, potentially</w:t>
      </w:r>
      <w:r w:rsidR="00FB2F32">
        <w:rPr>
          <w:lang w:val="en-US"/>
        </w:rPr>
        <w:t xml:space="preserve"> in collaboration with the University of Tulane</w:t>
      </w:r>
      <w:r w:rsidR="009855B5" w:rsidRPr="00715D77">
        <w:rPr>
          <w:lang w:val="en-US"/>
        </w:rPr>
        <w:t>.</w:t>
      </w:r>
      <w:r w:rsidR="002601A1">
        <w:rPr>
          <w:lang w:val="en-US"/>
        </w:rPr>
        <w:t xml:space="preserve"> This partnership is also relevant and supportive for the implementation of the other activities of the NAP.</w:t>
      </w:r>
    </w:p>
    <w:p w14:paraId="2D96A7AF" w14:textId="470DE899" w:rsidR="009F0AF5" w:rsidRDefault="00565095" w:rsidP="00364C06">
      <w:pPr>
        <w:pStyle w:val="NoSpacing"/>
        <w:rPr>
          <w:b/>
          <w:i/>
          <w:lang w:val="en-US"/>
        </w:rPr>
      </w:pPr>
      <w:r>
        <w:rPr>
          <w:b/>
          <w:i/>
          <w:lang w:val="en-US"/>
        </w:rPr>
        <w:t xml:space="preserve">Output </w:t>
      </w:r>
      <w:r w:rsidR="00695CBB">
        <w:rPr>
          <w:b/>
          <w:i/>
          <w:lang w:val="en-US"/>
        </w:rPr>
        <w:t>2.3</w:t>
      </w:r>
      <w:r w:rsidR="000C6DE1">
        <w:rPr>
          <w:b/>
          <w:i/>
          <w:lang w:val="en-US"/>
        </w:rPr>
        <w:t xml:space="preserve"> </w:t>
      </w:r>
      <w:r w:rsidR="009F0AF5" w:rsidRPr="00743274">
        <w:rPr>
          <w:b/>
          <w:i/>
          <w:lang w:val="en-US"/>
        </w:rPr>
        <w:t>Technically available and economically feasible techniques and technologies that can replace the use of mercury assessed at global level.</w:t>
      </w:r>
    </w:p>
    <w:p w14:paraId="69B340F7" w14:textId="2FC0739F" w:rsidR="000A22FC" w:rsidRPr="000A22FC" w:rsidRDefault="000A22FC" w:rsidP="000A22FC">
      <w:pPr>
        <w:pStyle w:val="NoSpacing"/>
        <w:rPr>
          <w:lang w:val="en-US"/>
        </w:rPr>
      </w:pPr>
      <w:r>
        <w:rPr>
          <w:lang w:val="en-US"/>
        </w:rPr>
        <w:t xml:space="preserve">A baseline assessment of the existing </w:t>
      </w:r>
      <w:r w:rsidRPr="000A22FC">
        <w:rPr>
          <w:lang w:val="en-US"/>
        </w:rPr>
        <w:t>methods and technologies</w:t>
      </w:r>
      <w:r>
        <w:rPr>
          <w:lang w:val="en-US"/>
        </w:rPr>
        <w:t xml:space="preserve"> used in </w:t>
      </w:r>
      <w:r w:rsidR="00BB1D3E">
        <w:rPr>
          <w:lang w:val="en-US"/>
        </w:rPr>
        <w:t>all the</w:t>
      </w:r>
      <w:r>
        <w:rPr>
          <w:lang w:val="en-US"/>
        </w:rPr>
        <w:t xml:space="preserve"> mining areas regarding the use of HG in ASGM and processing will be conducted. </w:t>
      </w:r>
    </w:p>
    <w:p w14:paraId="69047CDF" w14:textId="30A17B5C" w:rsidR="000A22FC" w:rsidRDefault="009F0AF5" w:rsidP="009F0AF5">
      <w:pPr>
        <w:rPr>
          <w:highlight w:val="red"/>
          <w:lang w:val="en-US"/>
        </w:rPr>
      </w:pPr>
      <w:r w:rsidRPr="005C2F40">
        <w:rPr>
          <w:lang w:val="en-US"/>
        </w:rPr>
        <w:t>Barriers that would hinder or prevent implementation of the Article 7 of the Minamata Convention</w:t>
      </w:r>
      <w:r w:rsidR="0064524B">
        <w:rPr>
          <w:lang w:val="en-US"/>
        </w:rPr>
        <w:t xml:space="preserve"> will be assessed, including Hg-</w:t>
      </w:r>
      <w:r w:rsidRPr="005C2F40">
        <w:rPr>
          <w:lang w:val="en-US"/>
        </w:rPr>
        <w:t xml:space="preserve">free technical barriers and challenges. The project will look into, in a global manner, the techniques and technologies that exist in the world and that could be promoted </w:t>
      </w:r>
      <w:r w:rsidRPr="000A22FC">
        <w:rPr>
          <w:lang w:val="en-US"/>
        </w:rPr>
        <w:t>in Suriname.</w:t>
      </w:r>
      <w:r w:rsidR="000A22FC" w:rsidRPr="000A22FC">
        <w:rPr>
          <w:lang w:val="en-US"/>
        </w:rPr>
        <w:t xml:space="preserve"> </w:t>
      </w:r>
      <w:r w:rsidR="00F14AAC" w:rsidRPr="000A22FC">
        <w:rPr>
          <w:lang w:val="en-US"/>
        </w:rPr>
        <w:t>Therefore</w:t>
      </w:r>
      <w:r w:rsidR="000A22FC" w:rsidRPr="000A22FC">
        <w:rPr>
          <w:lang w:val="en-US"/>
        </w:rPr>
        <w:t xml:space="preserve"> </w:t>
      </w:r>
      <w:r w:rsidR="00BB1D3E" w:rsidRPr="000A22FC">
        <w:rPr>
          <w:lang w:val="en-US"/>
        </w:rPr>
        <w:t>an</w:t>
      </w:r>
      <w:r w:rsidR="000A22FC" w:rsidRPr="000A22FC">
        <w:rPr>
          <w:lang w:val="en-US"/>
        </w:rPr>
        <w:t xml:space="preserve"> assessment of methods and technologies to reduce/eliminate the use of HG in ASGM and processing</w:t>
      </w:r>
      <w:r w:rsidR="000A22FC">
        <w:rPr>
          <w:lang w:val="en-US"/>
        </w:rPr>
        <w:t xml:space="preserve"> will be conducted</w:t>
      </w:r>
      <w:r w:rsidR="000A22FC" w:rsidRPr="000A22FC">
        <w:rPr>
          <w:lang w:val="en-US"/>
        </w:rPr>
        <w:t>.</w:t>
      </w:r>
    </w:p>
    <w:p w14:paraId="6189C7A1" w14:textId="32ACD741" w:rsidR="009F0AF5" w:rsidRPr="00A03CE2" w:rsidRDefault="00565095" w:rsidP="009F0AF5">
      <w:pPr>
        <w:pStyle w:val="NoSpacing"/>
        <w:rPr>
          <w:b/>
          <w:i/>
          <w:lang w:val="en-US"/>
        </w:rPr>
      </w:pPr>
      <w:r>
        <w:rPr>
          <w:b/>
          <w:i/>
          <w:lang w:val="en-US"/>
        </w:rPr>
        <w:t xml:space="preserve">Output </w:t>
      </w:r>
      <w:r w:rsidR="009F0AF5" w:rsidRPr="00A03CE2">
        <w:rPr>
          <w:b/>
          <w:i/>
          <w:lang w:val="en-US"/>
        </w:rPr>
        <w:t>2.</w:t>
      </w:r>
      <w:r w:rsidR="00695CBB">
        <w:rPr>
          <w:b/>
          <w:i/>
          <w:lang w:val="en-US"/>
        </w:rPr>
        <w:t>4</w:t>
      </w:r>
      <w:r w:rsidR="009F0AF5" w:rsidRPr="00A03CE2">
        <w:rPr>
          <w:b/>
          <w:i/>
          <w:lang w:val="en-US"/>
        </w:rPr>
        <w:t xml:space="preserve"> Public consultation and awareness systems on Hg risks on exposure established, including actions to prevent vulnerable public exposure, especially low income populations, children and women.</w:t>
      </w:r>
    </w:p>
    <w:p w14:paraId="7DBC4B78" w14:textId="65C6AFBF" w:rsidR="009F0AF5" w:rsidRDefault="009F0AF5" w:rsidP="009F0AF5">
      <w:pPr>
        <w:rPr>
          <w:lang w:val="en-US"/>
        </w:rPr>
      </w:pPr>
      <w:r w:rsidRPr="005C2F40">
        <w:rPr>
          <w:lang w:val="en-US"/>
        </w:rPr>
        <w:t>Upon the identification of capacity and/or regulatory gaps (in relation to the Convention´s obligation) the results will direct the work of formulation of a series of strategies under component 2. As well as the component 3 related to the development of the NAP Report. Those results will be organized and disseminate using awareness tools designed to each target group that a</w:t>
      </w:r>
      <w:r w:rsidR="0064524B">
        <w:rPr>
          <w:lang w:val="en-US"/>
        </w:rPr>
        <w:t>r</w:t>
      </w:r>
      <w:r w:rsidRPr="005C2F40">
        <w:rPr>
          <w:lang w:val="en-US"/>
        </w:rPr>
        <w:t xml:space="preserve">e related to Hg-issues in the ASGM sector. Special attention is to be paid </w:t>
      </w:r>
      <w:r w:rsidR="009D1B21">
        <w:rPr>
          <w:lang w:val="en-US"/>
        </w:rPr>
        <w:t>to</w:t>
      </w:r>
      <w:r w:rsidRPr="005C2F40">
        <w:rPr>
          <w:lang w:val="en-US"/>
        </w:rPr>
        <w:t xml:space="preserve"> most vulnerable groups (women, children, indigenous and low-income populations</w:t>
      </w:r>
      <w:r w:rsidR="0064524B">
        <w:rPr>
          <w:lang w:val="en-US"/>
        </w:rPr>
        <w:t>)</w:t>
      </w:r>
      <w:r w:rsidRPr="005C2F40">
        <w:rPr>
          <w:lang w:val="en-US"/>
        </w:rPr>
        <w:t>.</w:t>
      </w:r>
    </w:p>
    <w:p w14:paraId="3BA82E95" w14:textId="79B382BD" w:rsidR="009F0AF5" w:rsidRPr="005C2F40" w:rsidRDefault="00475252" w:rsidP="00477CED">
      <w:pPr>
        <w:rPr>
          <w:lang w:val="en-US"/>
        </w:rPr>
      </w:pPr>
      <w:r w:rsidRPr="00715D77">
        <w:rPr>
          <w:lang w:val="en-US"/>
        </w:rPr>
        <w:t xml:space="preserve">While an explicit focus of the health activities is not envisaged in the NAP, the proposed project </w:t>
      </w:r>
      <w:r w:rsidR="00477CED" w:rsidRPr="00715D77">
        <w:rPr>
          <w:lang w:val="en-US"/>
        </w:rPr>
        <w:t>will lay</w:t>
      </w:r>
      <w:r w:rsidRPr="00715D77">
        <w:rPr>
          <w:lang w:val="en-US"/>
        </w:rPr>
        <w:t xml:space="preserve"> the ground work for actions called for under Article 16 of the Convention.</w:t>
      </w:r>
      <w:r w:rsidR="00477CED" w:rsidRPr="00715D77">
        <w:rPr>
          <w:lang w:val="en-US"/>
        </w:rPr>
        <w:t xml:space="preserve"> Exposure to mercury</w:t>
      </w:r>
      <w:r w:rsidR="00477CED" w:rsidRPr="00477CED">
        <w:rPr>
          <w:lang w:val="en-US"/>
        </w:rPr>
        <w:t xml:space="preserve"> may cause serious health problems and is a threat especially to the development of the child in utero and early in life, and to workers. Mercury has toxic effects on the nervous, digestive and immune systems, and on lungs, kidneys, skin and eyes. The health sector, as well as other relevant sectors, is </w:t>
      </w:r>
      <w:r w:rsidR="00477CED" w:rsidRPr="00477CED">
        <w:rPr>
          <w:lang w:val="en-US"/>
        </w:rPr>
        <w:lastRenderedPageBreak/>
        <w:t xml:space="preserve">key for the protection of populations at risk from exposure to mercury, particularly for providing guidance, adopting health-based guidelines, setting targets for mercury exposure reduction and </w:t>
      </w:r>
      <w:r w:rsidR="00477CED" w:rsidRPr="00715D77">
        <w:rPr>
          <w:lang w:val="en-US"/>
        </w:rPr>
        <w:t xml:space="preserve">public and worker education. </w:t>
      </w:r>
      <w:r w:rsidR="004925B1" w:rsidRPr="00715D77">
        <w:rPr>
          <w:lang w:val="en-US"/>
        </w:rPr>
        <w:t>According to Annex C Paragraph 1(h) a</w:t>
      </w:r>
      <w:r w:rsidR="0076768E" w:rsidRPr="00715D77">
        <w:rPr>
          <w:lang w:val="en-US"/>
        </w:rPr>
        <w:t xml:space="preserve"> </w:t>
      </w:r>
      <w:r w:rsidR="004925B1" w:rsidRPr="00715D77">
        <w:rPr>
          <w:lang w:val="en-US"/>
        </w:rPr>
        <w:t>public health strategy is required under the proposed project regarding the exposure of artisanal and small scale gold miners and their communities to mercury.  The strategy will include, inter alia, the gathering of health data,</w:t>
      </w:r>
      <w:r w:rsidR="004925B1">
        <w:rPr>
          <w:lang w:val="en-US"/>
        </w:rPr>
        <w:t xml:space="preserve"> training for health-care workers and awareness-raising through health facilities.</w:t>
      </w:r>
    </w:p>
    <w:p w14:paraId="3E0FEADD" w14:textId="77777777" w:rsidR="009F0AF5" w:rsidRDefault="009F0AF5" w:rsidP="009F0AF5">
      <w:pPr>
        <w:rPr>
          <w:lang w:val="en-US"/>
        </w:rPr>
      </w:pPr>
      <w:r w:rsidRPr="005C2F40">
        <w:rPr>
          <w:lang w:val="en-US"/>
        </w:rPr>
        <w:t>Expert teams will draft proposals to be included in the NAP Report on how to address the pertinent gaps and barriers. These proposals will also include an overview of the cost to the Government in meeting its obligation under the Article 7 under the Minamata Convention. After the development of the draft NAP Report, this will be prepared for review, approval and adoption by the national stakeholders.</w:t>
      </w:r>
      <w:r w:rsidRPr="005C2F40">
        <w:rPr>
          <w:lang w:val="en-US"/>
        </w:rPr>
        <w:tab/>
      </w:r>
    </w:p>
    <w:p w14:paraId="2B6B421A" w14:textId="44E47B9D" w:rsidR="009F0AF5" w:rsidRPr="0076768E" w:rsidRDefault="00565095" w:rsidP="009F0AF5">
      <w:pPr>
        <w:pStyle w:val="NoSpacing"/>
        <w:rPr>
          <w:b/>
          <w:i/>
          <w:lang w:val="en-US"/>
        </w:rPr>
      </w:pPr>
      <w:r w:rsidRPr="00AA15F8">
        <w:rPr>
          <w:b/>
          <w:lang w:val="en-US"/>
        </w:rPr>
        <w:t>Output 2</w:t>
      </w:r>
      <w:r w:rsidR="009F0AF5" w:rsidRPr="00565095">
        <w:rPr>
          <w:b/>
          <w:i/>
          <w:lang w:val="en-US"/>
        </w:rPr>
        <w:t>.</w:t>
      </w:r>
      <w:r>
        <w:rPr>
          <w:b/>
          <w:i/>
          <w:lang w:val="en-US"/>
        </w:rPr>
        <w:t>5</w:t>
      </w:r>
      <w:r w:rsidR="009F0AF5" w:rsidRPr="00565095">
        <w:rPr>
          <w:b/>
          <w:i/>
          <w:lang w:val="en-US"/>
        </w:rPr>
        <w:t xml:space="preserve"> </w:t>
      </w:r>
      <w:r w:rsidR="009F0AF5" w:rsidRPr="0076768E">
        <w:rPr>
          <w:b/>
          <w:i/>
          <w:lang w:val="en-US"/>
        </w:rPr>
        <w:t>National Action Plan Prepared</w:t>
      </w:r>
    </w:p>
    <w:p w14:paraId="4CD39A1D" w14:textId="77777777" w:rsidR="009F0AF5" w:rsidRPr="003222D4" w:rsidRDefault="009F0AF5" w:rsidP="009F0AF5">
      <w:pPr>
        <w:rPr>
          <w:lang w:val="en-US"/>
        </w:rPr>
      </w:pPr>
      <w:r w:rsidRPr="003222D4">
        <w:rPr>
          <w:lang w:val="en-US"/>
        </w:rPr>
        <w:t xml:space="preserve">Following the finalization of the project activities as envisaged under components 1 and 2, the national project </w:t>
      </w:r>
      <w:r>
        <w:rPr>
          <w:lang w:val="en-US"/>
        </w:rPr>
        <w:t>team will prepare a NAP report.</w:t>
      </w:r>
    </w:p>
    <w:p w14:paraId="6CCC2CFD" w14:textId="77777777" w:rsidR="009F0AF5" w:rsidRPr="003222D4" w:rsidRDefault="009F0AF5" w:rsidP="009F0AF5">
      <w:pPr>
        <w:rPr>
          <w:lang w:val="en-US"/>
        </w:rPr>
      </w:pPr>
      <w:r w:rsidRPr="003222D4">
        <w:rPr>
          <w:lang w:val="en-US"/>
        </w:rPr>
        <w:t>The NAP Report will provide information on the following, which will enable the country to comply with the Article 7 of the Convention:</w:t>
      </w:r>
    </w:p>
    <w:p w14:paraId="6FE6D9AC" w14:textId="77777777" w:rsidR="009F0AF5" w:rsidRPr="003222D4" w:rsidRDefault="009F0AF5" w:rsidP="009F0AF5">
      <w:pPr>
        <w:pStyle w:val="ListParagraph"/>
        <w:numPr>
          <w:ilvl w:val="0"/>
          <w:numId w:val="4"/>
        </w:numPr>
        <w:rPr>
          <w:lang w:val="en-US"/>
        </w:rPr>
      </w:pPr>
      <w:r w:rsidRPr="003222D4">
        <w:rPr>
          <w:lang w:val="en-US"/>
        </w:rPr>
        <w:t>Structures, institutions, legislation related to ASGM and use of Hg in ASGM.</w:t>
      </w:r>
    </w:p>
    <w:p w14:paraId="06398DC1" w14:textId="77777777" w:rsidR="009F0AF5" w:rsidRPr="003222D4" w:rsidRDefault="009F0AF5" w:rsidP="009F0AF5">
      <w:pPr>
        <w:pStyle w:val="ListParagraph"/>
        <w:numPr>
          <w:ilvl w:val="0"/>
          <w:numId w:val="4"/>
        </w:numPr>
        <w:rPr>
          <w:lang w:val="en-US"/>
        </w:rPr>
      </w:pPr>
      <w:r w:rsidRPr="003222D4">
        <w:rPr>
          <w:lang w:val="en-US"/>
        </w:rPr>
        <w:t>Identification of barriers that would hinder or prevent implementation of the Convention.</w:t>
      </w:r>
    </w:p>
    <w:p w14:paraId="68FFD8BD" w14:textId="77777777" w:rsidR="009F0AF5" w:rsidRPr="003222D4" w:rsidRDefault="009F0AF5" w:rsidP="009F0AF5">
      <w:pPr>
        <w:pStyle w:val="ListParagraph"/>
        <w:numPr>
          <w:ilvl w:val="0"/>
          <w:numId w:val="4"/>
        </w:numPr>
        <w:rPr>
          <w:lang w:val="en-US"/>
        </w:rPr>
      </w:pPr>
      <w:r w:rsidRPr="003222D4">
        <w:rPr>
          <w:lang w:val="en-US"/>
        </w:rPr>
        <w:t>National objectives and reduction targets.</w:t>
      </w:r>
    </w:p>
    <w:p w14:paraId="3A2AAA45" w14:textId="77777777" w:rsidR="009F0AF5" w:rsidRPr="003222D4" w:rsidRDefault="009F0AF5" w:rsidP="009F0AF5">
      <w:pPr>
        <w:pStyle w:val="ListParagraph"/>
        <w:numPr>
          <w:ilvl w:val="0"/>
          <w:numId w:val="4"/>
        </w:numPr>
        <w:rPr>
          <w:lang w:val="en-US"/>
        </w:rPr>
      </w:pPr>
      <w:r w:rsidRPr="003222D4">
        <w:rPr>
          <w:lang w:val="en-US"/>
        </w:rPr>
        <w:t>Summary of the results from the Mercury Profile.</w:t>
      </w:r>
    </w:p>
    <w:p w14:paraId="11D2EA38" w14:textId="77777777" w:rsidR="009F0AF5" w:rsidRPr="003222D4" w:rsidRDefault="009F0AF5" w:rsidP="009F0AF5">
      <w:pPr>
        <w:pStyle w:val="ListParagraph"/>
        <w:numPr>
          <w:ilvl w:val="0"/>
          <w:numId w:val="4"/>
        </w:numPr>
        <w:rPr>
          <w:lang w:val="en-US"/>
        </w:rPr>
      </w:pPr>
      <w:r w:rsidRPr="003222D4">
        <w:rPr>
          <w:lang w:val="en-US"/>
        </w:rPr>
        <w:t>Specific action to eliminate the use of Hg contained in the Annex C. Article 1, Paragraph (b) of the Convention.</w:t>
      </w:r>
    </w:p>
    <w:p w14:paraId="63700EF4" w14:textId="77777777" w:rsidR="009F0AF5" w:rsidRPr="003222D4" w:rsidRDefault="009F0AF5" w:rsidP="009F0AF5">
      <w:pPr>
        <w:pStyle w:val="ListParagraph"/>
        <w:numPr>
          <w:ilvl w:val="0"/>
          <w:numId w:val="4"/>
        </w:numPr>
        <w:rPr>
          <w:lang w:val="en-US"/>
        </w:rPr>
      </w:pPr>
      <w:r w:rsidRPr="003222D4">
        <w:rPr>
          <w:lang w:val="en-US"/>
        </w:rPr>
        <w:t>Identification of technical and financial needs for implementation of the NAP, including resources from the GEF, national sources, bilateral sources, the private sector and others integrated.</w:t>
      </w:r>
    </w:p>
    <w:p w14:paraId="5CFA91B6" w14:textId="77777777" w:rsidR="009F0AF5" w:rsidRPr="003222D4" w:rsidRDefault="009F0AF5" w:rsidP="009F0AF5">
      <w:pPr>
        <w:pStyle w:val="ListParagraph"/>
        <w:numPr>
          <w:ilvl w:val="0"/>
          <w:numId w:val="4"/>
        </w:numPr>
        <w:rPr>
          <w:lang w:val="en-US"/>
        </w:rPr>
      </w:pPr>
      <w:r w:rsidRPr="003222D4">
        <w:rPr>
          <w:lang w:val="en-US"/>
        </w:rPr>
        <w:t>Formalization process and proposed regulations required for the ASGM sector.</w:t>
      </w:r>
    </w:p>
    <w:p w14:paraId="13B4E29D" w14:textId="77777777" w:rsidR="009F0AF5" w:rsidRPr="003222D4" w:rsidRDefault="009F0AF5" w:rsidP="009F0AF5">
      <w:pPr>
        <w:pStyle w:val="ListParagraph"/>
        <w:numPr>
          <w:ilvl w:val="0"/>
          <w:numId w:val="4"/>
        </w:numPr>
        <w:rPr>
          <w:lang w:val="en-US"/>
        </w:rPr>
      </w:pPr>
      <w:r w:rsidRPr="003222D4">
        <w:rPr>
          <w:lang w:val="en-US"/>
        </w:rPr>
        <w:t>Strategy to promote the use of methods and technologies that reduce/eliminate the use of Hg in ASGM and processing.</w:t>
      </w:r>
    </w:p>
    <w:p w14:paraId="1D665F4E" w14:textId="77777777" w:rsidR="009F0AF5" w:rsidRPr="003222D4" w:rsidRDefault="009F0AF5" w:rsidP="009F0AF5">
      <w:pPr>
        <w:pStyle w:val="ListParagraph"/>
        <w:numPr>
          <w:ilvl w:val="0"/>
          <w:numId w:val="4"/>
        </w:numPr>
        <w:rPr>
          <w:lang w:val="en-US"/>
        </w:rPr>
      </w:pPr>
      <w:r w:rsidRPr="003222D4">
        <w:rPr>
          <w:lang w:val="en-US"/>
        </w:rPr>
        <w:t>A system to manage internal and international trade of Hg and its compounds used in ASGM and processing.</w:t>
      </w:r>
    </w:p>
    <w:p w14:paraId="7B62E4A3" w14:textId="77777777" w:rsidR="009F0AF5" w:rsidRPr="003222D4" w:rsidRDefault="009F0AF5" w:rsidP="009F0AF5">
      <w:pPr>
        <w:pStyle w:val="ListParagraph"/>
        <w:numPr>
          <w:ilvl w:val="0"/>
          <w:numId w:val="4"/>
        </w:numPr>
        <w:rPr>
          <w:lang w:val="en-US"/>
        </w:rPr>
      </w:pPr>
      <w:r w:rsidRPr="003222D4">
        <w:rPr>
          <w:lang w:val="en-US"/>
        </w:rPr>
        <w:t>A national strategy to involve stakeholders and general public in different levels of consultation.</w:t>
      </w:r>
    </w:p>
    <w:p w14:paraId="1BEA2EFD" w14:textId="77777777" w:rsidR="009F0AF5" w:rsidRPr="003222D4" w:rsidRDefault="009F0AF5" w:rsidP="009F0AF5">
      <w:pPr>
        <w:pStyle w:val="ListParagraph"/>
        <w:numPr>
          <w:ilvl w:val="0"/>
          <w:numId w:val="4"/>
        </w:numPr>
        <w:rPr>
          <w:lang w:val="en-US"/>
        </w:rPr>
      </w:pPr>
      <w:r w:rsidRPr="003222D4">
        <w:rPr>
          <w:lang w:val="en-US"/>
        </w:rPr>
        <w:t>An awareness program driven to affected communities on Hg use and its impacts into the environment and health of populations, particular most vulnerable ones (low income families, women and children).</w:t>
      </w:r>
    </w:p>
    <w:p w14:paraId="02195770" w14:textId="77777777" w:rsidR="009F0AF5" w:rsidRPr="003222D4" w:rsidRDefault="009F0AF5" w:rsidP="009F0AF5">
      <w:pPr>
        <w:pStyle w:val="ListParagraph"/>
        <w:numPr>
          <w:ilvl w:val="0"/>
          <w:numId w:val="4"/>
        </w:numPr>
        <w:rPr>
          <w:lang w:val="en-US"/>
        </w:rPr>
      </w:pPr>
      <w:r w:rsidRPr="003222D4">
        <w:rPr>
          <w:lang w:val="en-US"/>
        </w:rPr>
        <w:t>A general awareness strategy on Hg use and impacts on ASGM sector to all audiences as part of the consumption chain of gold.</w:t>
      </w:r>
    </w:p>
    <w:p w14:paraId="213C07A8" w14:textId="77777777" w:rsidR="009F0AF5" w:rsidRDefault="009F0AF5" w:rsidP="009F0AF5">
      <w:pPr>
        <w:pStyle w:val="ListParagraph"/>
        <w:numPr>
          <w:ilvl w:val="0"/>
          <w:numId w:val="4"/>
        </w:numPr>
        <w:rPr>
          <w:lang w:val="en-US"/>
        </w:rPr>
      </w:pPr>
      <w:r w:rsidRPr="003222D4">
        <w:rPr>
          <w:lang w:val="en-US"/>
        </w:rPr>
        <w:t>An integrated public health strategy on the exposure of the above mentioned populations in close collaboration with Health Authorities.</w:t>
      </w:r>
    </w:p>
    <w:p w14:paraId="3A83367D" w14:textId="668B908E" w:rsidR="009F0AF5" w:rsidRPr="00787688" w:rsidRDefault="00565095" w:rsidP="009F0AF5">
      <w:pPr>
        <w:pStyle w:val="NoSpacing"/>
        <w:rPr>
          <w:b/>
          <w:i/>
          <w:lang w:val="en-US"/>
        </w:rPr>
      </w:pPr>
      <w:r>
        <w:rPr>
          <w:b/>
          <w:i/>
          <w:lang w:val="en-US"/>
        </w:rPr>
        <w:t>Output 2</w:t>
      </w:r>
      <w:r w:rsidR="009F0AF5" w:rsidRPr="00787688">
        <w:rPr>
          <w:b/>
          <w:i/>
          <w:lang w:val="en-US"/>
        </w:rPr>
        <w:t>.</w:t>
      </w:r>
      <w:r>
        <w:rPr>
          <w:b/>
          <w:i/>
          <w:lang w:val="en-US"/>
        </w:rPr>
        <w:t>6</w:t>
      </w:r>
      <w:r w:rsidR="009F0AF5" w:rsidRPr="00787688">
        <w:rPr>
          <w:b/>
          <w:i/>
          <w:lang w:val="en-US"/>
        </w:rPr>
        <w:t xml:space="preserve"> Schedule for the implementation NAP in Suriname made available</w:t>
      </w:r>
    </w:p>
    <w:p w14:paraId="76AB73F1" w14:textId="773CD1D1" w:rsidR="00477CED" w:rsidRDefault="00477CED" w:rsidP="009F0AF5">
      <w:pPr>
        <w:rPr>
          <w:lang w:val="en-US"/>
        </w:rPr>
      </w:pPr>
      <w:r>
        <w:rPr>
          <w:lang w:val="en-US"/>
        </w:rPr>
        <w:t xml:space="preserve">A schedule for implementing the NAP involves turning the goals and objectives outlined in the required chapters (as mentioned above) into specific tasks and activities. The schedule that is developed in the NAP should include a timeline </w:t>
      </w:r>
      <w:r w:rsidR="00787688">
        <w:rPr>
          <w:lang w:val="en-US"/>
        </w:rPr>
        <w:t>of when each phase or step will be implemented and accomplished as well as the government agency, organization or other stakeholder group that is responsible for implementing the activity.</w:t>
      </w:r>
    </w:p>
    <w:p w14:paraId="56CE1DBE" w14:textId="0C47A4DC" w:rsidR="009F0AF5" w:rsidRDefault="009F0AF5" w:rsidP="009F0AF5">
      <w:pPr>
        <w:rPr>
          <w:lang w:val="en-US"/>
        </w:rPr>
      </w:pPr>
      <w:r w:rsidRPr="003222D4">
        <w:rPr>
          <w:lang w:val="en-US"/>
        </w:rPr>
        <w:lastRenderedPageBreak/>
        <w:t>The mainstreaming ex</w:t>
      </w:r>
      <w:r w:rsidR="00AA0BFC">
        <w:rPr>
          <w:lang w:val="en-US"/>
        </w:rPr>
        <w:t>e</w:t>
      </w:r>
      <w:r w:rsidRPr="003222D4">
        <w:rPr>
          <w:lang w:val="en-US"/>
        </w:rPr>
        <w:t>rcise will be led and supported by the inter-ministerial coordination with the objective to include mercury priorities related to the Gold Mining sector into national policies and development plans. The mainstreaming exercise will also include a socio-economic study on the effects of mercury and alternatives in ASGM and relevant sectors that were identified in the inventory, which can help inform priority setting for this sector and support decision making to facilitate the mainstreaming of selected priorities.</w:t>
      </w:r>
    </w:p>
    <w:p w14:paraId="2E574232" w14:textId="77777777" w:rsidR="009F0AF5" w:rsidRDefault="009F0AF5" w:rsidP="007F54AA">
      <w:pPr>
        <w:rPr>
          <w:lang w:val="en-US"/>
        </w:rPr>
      </w:pPr>
    </w:p>
    <w:p w14:paraId="64934244" w14:textId="5B285B1E" w:rsidR="009F0AF5" w:rsidRPr="006451BA" w:rsidRDefault="00EB4C82" w:rsidP="00AA15F8">
      <w:pPr>
        <w:pStyle w:val="Heading2"/>
        <w:numPr>
          <w:ilvl w:val="1"/>
          <w:numId w:val="26"/>
        </w:numPr>
      </w:pPr>
      <w:bookmarkStart w:id="13" w:name="_Toc487589370"/>
      <w:r w:rsidRPr="006451BA">
        <w:t>Key Partners</w:t>
      </w:r>
      <w:bookmarkEnd w:id="13"/>
    </w:p>
    <w:p w14:paraId="455CE536" w14:textId="6568D69C" w:rsidR="00DF39DD" w:rsidRDefault="003816D4" w:rsidP="007F54AA">
      <w:pPr>
        <w:rPr>
          <w:lang w:val="en-US"/>
        </w:rPr>
      </w:pPr>
      <w:r w:rsidRPr="003816D4">
        <w:rPr>
          <w:lang w:val="en-US"/>
        </w:rPr>
        <w:t xml:space="preserve">Following key partners will provide inputs to the process of </w:t>
      </w:r>
      <w:r>
        <w:rPr>
          <w:lang w:val="en-US"/>
        </w:rPr>
        <w:t>executing the activities and developing the NAP</w:t>
      </w:r>
      <w:r w:rsidR="007F54AA">
        <w:rPr>
          <w:lang w:val="en-US"/>
        </w:rPr>
        <w:t>:</w:t>
      </w:r>
    </w:p>
    <w:tbl>
      <w:tblPr>
        <w:tblStyle w:val="GridTable5Dark-Accent6"/>
        <w:tblW w:w="0" w:type="auto"/>
        <w:tblLook w:val="04A0" w:firstRow="1" w:lastRow="0" w:firstColumn="1" w:lastColumn="0" w:noHBand="0" w:noVBand="1"/>
      </w:tblPr>
      <w:tblGrid>
        <w:gridCol w:w="2689"/>
        <w:gridCol w:w="6373"/>
      </w:tblGrid>
      <w:tr w:rsidR="00EA7B68" w:rsidRPr="00487C00" w14:paraId="1ED74317" w14:textId="77777777" w:rsidTr="00EE3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597165" w14:textId="6AFC1D19" w:rsidR="00EA7B68" w:rsidRPr="00EE3E21" w:rsidRDefault="00FA542D" w:rsidP="00EE3E21">
            <w:pPr>
              <w:spacing w:line="276" w:lineRule="auto"/>
              <w:jc w:val="center"/>
              <w:rPr>
                <w:rFonts w:cstheme="minorHAnsi"/>
                <w:sz w:val="24"/>
                <w:szCs w:val="21"/>
                <w:lang w:val="en-US"/>
              </w:rPr>
            </w:pPr>
            <w:r w:rsidRPr="00EE3E21">
              <w:rPr>
                <w:rFonts w:cstheme="minorHAnsi"/>
                <w:sz w:val="24"/>
                <w:szCs w:val="21"/>
                <w:lang w:val="en-US"/>
              </w:rPr>
              <w:t>Key Stakeholder</w:t>
            </w:r>
          </w:p>
        </w:tc>
        <w:tc>
          <w:tcPr>
            <w:tcW w:w="6373" w:type="dxa"/>
          </w:tcPr>
          <w:p w14:paraId="5E5FDE12" w14:textId="77777777" w:rsidR="00EA7B68" w:rsidRPr="00EE3E21" w:rsidRDefault="00EA7B68" w:rsidP="00EE3E2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1"/>
                <w:lang w:val="en-US"/>
              </w:rPr>
            </w:pPr>
          </w:p>
        </w:tc>
      </w:tr>
      <w:tr w:rsidR="00EA7B68" w:rsidRPr="00EE3E21" w14:paraId="0129DCB7"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358812" w14:textId="05FE5A6D" w:rsidR="00EA7B68" w:rsidRPr="00010D5D" w:rsidRDefault="00EA7B68" w:rsidP="00010D5D">
            <w:pPr>
              <w:spacing w:line="276" w:lineRule="auto"/>
              <w:rPr>
                <w:rFonts w:cstheme="minorHAnsi"/>
                <w:sz w:val="21"/>
                <w:szCs w:val="21"/>
                <w:lang w:val="en-US"/>
              </w:rPr>
            </w:pPr>
            <w:r w:rsidRPr="00010D5D">
              <w:rPr>
                <w:rFonts w:cstheme="minorHAnsi"/>
                <w:sz w:val="21"/>
                <w:szCs w:val="21"/>
                <w:lang w:val="en-US"/>
              </w:rPr>
              <w:t>Ministry of Natural Resources (NH):</w:t>
            </w:r>
          </w:p>
        </w:tc>
        <w:tc>
          <w:tcPr>
            <w:tcW w:w="6373" w:type="dxa"/>
          </w:tcPr>
          <w:p w14:paraId="77B1F5A6" w14:textId="206EF0D5" w:rsidR="00EA7B68" w:rsidRPr="00010D5D" w:rsidRDefault="00EA7B68"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Responsible for sustainable management of natural resources. The Ministry is in charge of the development and control of mining policies and regulations, exploration, exploitation or small-scale mining rights to both small- and large-scale mining firms.</w:t>
            </w:r>
          </w:p>
        </w:tc>
      </w:tr>
      <w:tr w:rsidR="00EA7B68" w:rsidRPr="00EE3E21" w14:paraId="25849B85"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3E051240" w14:textId="70FEEAF7" w:rsidR="00EA7B68" w:rsidRPr="00010D5D" w:rsidRDefault="00EA7B68" w:rsidP="00010D5D">
            <w:pPr>
              <w:spacing w:line="276" w:lineRule="auto"/>
              <w:rPr>
                <w:rFonts w:cstheme="minorHAnsi"/>
                <w:sz w:val="21"/>
                <w:szCs w:val="21"/>
                <w:lang w:val="en-US"/>
              </w:rPr>
            </w:pPr>
            <w:r w:rsidRPr="00010D5D">
              <w:rPr>
                <w:rFonts w:cstheme="minorHAnsi"/>
                <w:sz w:val="21"/>
                <w:szCs w:val="21"/>
                <w:lang w:val="en-US"/>
              </w:rPr>
              <w:t>Geological Mining Division (GMD):</w:t>
            </w:r>
          </w:p>
        </w:tc>
        <w:tc>
          <w:tcPr>
            <w:tcW w:w="6373" w:type="dxa"/>
          </w:tcPr>
          <w:p w14:paraId="6399FCD0" w14:textId="760A90D6" w:rsidR="00EA7B68" w:rsidRPr="00010D5D" w:rsidRDefault="006D4D8B"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The</w:t>
            </w:r>
            <w:r w:rsidR="00EA7B68" w:rsidRPr="00010D5D">
              <w:rPr>
                <w:rFonts w:cstheme="minorHAnsi"/>
                <w:sz w:val="21"/>
                <w:szCs w:val="21"/>
                <w:lang w:val="en-US"/>
              </w:rPr>
              <w:t xml:space="preserve"> GMD has the responsibility for the sound management and use of natural resources. The GMD falls under the Ministry of NH and has formally among its tasks geological mapping, inventory of Suriname’s mineral reserves, advising the Minister of NH about mining rights and the control thereof. The GMD also advises third parties about mining concession applications.</w:t>
            </w:r>
          </w:p>
        </w:tc>
      </w:tr>
      <w:tr w:rsidR="00EA7B68" w:rsidRPr="00EE3E21" w14:paraId="0C7FD5FD"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B4EFCA1" w14:textId="2A68E3F4" w:rsidR="00EA7B68" w:rsidRPr="00010D5D" w:rsidRDefault="00EA7B68" w:rsidP="00010D5D">
            <w:pPr>
              <w:spacing w:line="276" w:lineRule="auto"/>
              <w:rPr>
                <w:rFonts w:cstheme="minorHAnsi"/>
                <w:sz w:val="21"/>
                <w:szCs w:val="21"/>
                <w:lang w:val="en-US"/>
              </w:rPr>
            </w:pPr>
            <w:r w:rsidRPr="00010D5D">
              <w:rPr>
                <w:rFonts w:cstheme="minorHAnsi"/>
                <w:sz w:val="21"/>
                <w:szCs w:val="21"/>
                <w:lang w:val="en-US"/>
              </w:rPr>
              <w:t>The Environmental Office within the Cabinet of the President:</w:t>
            </w:r>
          </w:p>
        </w:tc>
        <w:tc>
          <w:tcPr>
            <w:tcW w:w="6373" w:type="dxa"/>
          </w:tcPr>
          <w:p w14:paraId="503E98FC" w14:textId="1EB71978" w:rsidR="00EA7B68" w:rsidRPr="00010D5D" w:rsidRDefault="006D4D8B"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Is</w:t>
            </w:r>
            <w:r w:rsidR="00EA7B68" w:rsidRPr="00010D5D">
              <w:rPr>
                <w:rFonts w:cstheme="minorHAnsi"/>
                <w:sz w:val="21"/>
                <w:szCs w:val="21"/>
                <w:lang w:val="en-US"/>
              </w:rPr>
              <w:t xml:space="preserve"> the national coordination point for environmental issues in Suriname. Environmental policy is developed by the Environmental Office in close collaboration with NIMOS.</w:t>
            </w:r>
          </w:p>
        </w:tc>
      </w:tr>
      <w:tr w:rsidR="00EA7B68" w:rsidRPr="00EE3E21" w14:paraId="125D4029"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1F41079B" w14:textId="38A630AF" w:rsidR="00EA7B68" w:rsidRPr="00010D5D" w:rsidRDefault="00EA7B68" w:rsidP="00010D5D">
            <w:pPr>
              <w:spacing w:line="276" w:lineRule="auto"/>
              <w:rPr>
                <w:rFonts w:cstheme="minorHAnsi"/>
                <w:sz w:val="21"/>
                <w:szCs w:val="21"/>
                <w:lang w:val="en-US"/>
              </w:rPr>
            </w:pPr>
            <w:r w:rsidRPr="00010D5D">
              <w:rPr>
                <w:rFonts w:cstheme="minorHAnsi"/>
                <w:sz w:val="21"/>
                <w:szCs w:val="21"/>
                <w:lang w:val="en-US"/>
              </w:rPr>
              <w:t>National Institute for Environment and Development in Suriname (NIMOS):</w:t>
            </w:r>
          </w:p>
        </w:tc>
        <w:tc>
          <w:tcPr>
            <w:tcW w:w="6373" w:type="dxa"/>
          </w:tcPr>
          <w:p w14:paraId="1CCD7DBB" w14:textId="367F0465" w:rsidR="00EA7B68" w:rsidRPr="00010D5D" w:rsidRDefault="00EA7B68"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In collaboration with the Environmental Office of the Cabinet of the President, NIMOS is responsible for the development of environmental policy. NIMOS also serves as the practical working arm for the Environmental Office (i.e. performing field inspections).</w:t>
            </w:r>
          </w:p>
        </w:tc>
      </w:tr>
      <w:tr w:rsidR="00EA7B68" w:rsidRPr="00EE3E21" w14:paraId="5AC45026"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73147A" w14:textId="1EDF09A2" w:rsidR="00EA7B68" w:rsidRPr="00010D5D" w:rsidRDefault="00EA7B68" w:rsidP="00010D5D">
            <w:pPr>
              <w:spacing w:line="276" w:lineRule="auto"/>
              <w:rPr>
                <w:rFonts w:cstheme="minorHAnsi"/>
                <w:sz w:val="21"/>
                <w:szCs w:val="21"/>
                <w:lang w:val="en-US"/>
              </w:rPr>
            </w:pPr>
            <w:r w:rsidRPr="00010D5D">
              <w:rPr>
                <w:rFonts w:cstheme="minorHAnsi"/>
                <w:sz w:val="21"/>
                <w:szCs w:val="21"/>
                <w:lang w:val="en-US"/>
              </w:rPr>
              <w:t>Commission Regulation of the Gold Sector (OGS):</w:t>
            </w:r>
          </w:p>
        </w:tc>
        <w:tc>
          <w:tcPr>
            <w:tcW w:w="6373" w:type="dxa"/>
          </w:tcPr>
          <w:p w14:paraId="3FE54CE9" w14:textId="1A575ABF" w:rsidR="00EA7B68" w:rsidRPr="00010D5D" w:rsidRDefault="006D4D8B"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 xml:space="preserve">The OGS </w:t>
            </w:r>
            <w:r w:rsidR="00EA7B68" w:rsidRPr="00010D5D">
              <w:rPr>
                <w:rFonts w:cstheme="minorHAnsi"/>
                <w:sz w:val="21"/>
                <w:szCs w:val="21"/>
                <w:lang w:val="en-US"/>
              </w:rPr>
              <w:t>was established by the government in 2010. OGS is leading the reform effort to develop sustainable and environmentally responsible gold mining practices and transform informal small-scale gold mining into viable sub-sector of the mining and national economy of Suriname. In addition, the OGS is responsible for development of ASGM policy, law enforcement in ASGM areas, conflict resolution in ASGM areas, management of the ASGM reserve areas and registration and documentation of ASGM.</w:t>
            </w:r>
          </w:p>
        </w:tc>
      </w:tr>
      <w:tr w:rsidR="00084628" w:rsidRPr="00EE3E21" w14:paraId="101F418B"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02D93F05" w14:textId="453F123D" w:rsidR="00084628" w:rsidRPr="00010D5D" w:rsidRDefault="00084628" w:rsidP="00010D5D">
            <w:pPr>
              <w:spacing w:line="276" w:lineRule="auto"/>
              <w:rPr>
                <w:rFonts w:cstheme="minorHAnsi"/>
                <w:sz w:val="21"/>
                <w:szCs w:val="21"/>
                <w:lang w:val="en-US"/>
              </w:rPr>
            </w:pPr>
            <w:r>
              <w:rPr>
                <w:rFonts w:cstheme="minorHAnsi"/>
                <w:sz w:val="21"/>
                <w:szCs w:val="21"/>
                <w:lang w:val="en-US"/>
              </w:rPr>
              <w:t>Ministry of Regional Development</w:t>
            </w:r>
          </w:p>
        </w:tc>
        <w:tc>
          <w:tcPr>
            <w:tcW w:w="6373" w:type="dxa"/>
          </w:tcPr>
          <w:p w14:paraId="63535CE2" w14:textId="54373859" w:rsidR="00084628" w:rsidRPr="00010D5D" w:rsidRDefault="00084628"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Pr>
                <w:rFonts w:cstheme="minorHAnsi"/>
                <w:sz w:val="21"/>
                <w:szCs w:val="21"/>
                <w:lang w:val="en-US"/>
              </w:rPr>
              <w:t xml:space="preserve">The Ministry of Regional Development is responsible for local government, decentralization </w:t>
            </w:r>
            <w:r w:rsidR="00341ED8">
              <w:rPr>
                <w:rFonts w:cstheme="minorHAnsi"/>
                <w:sz w:val="21"/>
                <w:szCs w:val="21"/>
                <w:lang w:val="en-US"/>
              </w:rPr>
              <w:t>and development of the interior.</w:t>
            </w:r>
          </w:p>
        </w:tc>
      </w:tr>
      <w:tr w:rsidR="00EA7B68" w:rsidRPr="00EE3E21" w14:paraId="0E9BB1D3"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43A2EA" w14:textId="4AB0B0A3" w:rsidR="00EA7B68" w:rsidRPr="00010D5D" w:rsidRDefault="00EA7B68" w:rsidP="00010D5D">
            <w:pPr>
              <w:spacing w:line="276" w:lineRule="auto"/>
              <w:rPr>
                <w:rFonts w:cstheme="minorHAnsi"/>
                <w:sz w:val="21"/>
                <w:szCs w:val="21"/>
                <w:lang w:val="en-US"/>
              </w:rPr>
            </w:pPr>
            <w:r w:rsidRPr="00010D5D">
              <w:rPr>
                <w:rFonts w:cstheme="minorHAnsi"/>
                <w:sz w:val="21"/>
                <w:szCs w:val="21"/>
                <w:lang w:val="en-US"/>
              </w:rPr>
              <w:t>Ministry of Finance</w:t>
            </w:r>
          </w:p>
        </w:tc>
        <w:tc>
          <w:tcPr>
            <w:tcW w:w="6373" w:type="dxa"/>
          </w:tcPr>
          <w:p w14:paraId="15CDAE12" w14:textId="2031CF6E" w:rsidR="00EA7B68" w:rsidRPr="00010D5D" w:rsidRDefault="00EA7B68"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Responsible for obtaining and allocating resources necessary for state institutions, in accordance with the priorities of the public policy. Especially in the area of customs, it is related to establish regulation, controls, monitoring of all imports and exports of different products.</w:t>
            </w:r>
          </w:p>
        </w:tc>
      </w:tr>
      <w:tr w:rsidR="00EA7B68" w:rsidRPr="00EE3E21" w14:paraId="382592AF"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0601917F" w14:textId="2973B552" w:rsidR="00EA7B68" w:rsidRPr="00010D5D" w:rsidRDefault="009E3C54" w:rsidP="009E3C54">
            <w:pPr>
              <w:spacing w:line="276" w:lineRule="auto"/>
              <w:rPr>
                <w:rFonts w:cstheme="minorHAnsi"/>
                <w:sz w:val="21"/>
                <w:szCs w:val="21"/>
                <w:lang w:val="en-US"/>
              </w:rPr>
            </w:pPr>
            <w:r w:rsidRPr="00715D77">
              <w:rPr>
                <w:rFonts w:cstheme="minorHAnsi"/>
                <w:sz w:val="21"/>
                <w:szCs w:val="21"/>
                <w:lang w:val="en-US"/>
              </w:rPr>
              <w:t>Ministry of Health</w:t>
            </w:r>
            <w:r w:rsidR="00EA7B68" w:rsidRPr="00715D77">
              <w:rPr>
                <w:rFonts w:cstheme="minorHAnsi"/>
                <w:sz w:val="21"/>
                <w:szCs w:val="21"/>
                <w:lang w:val="en-US"/>
              </w:rPr>
              <w:t>:</w:t>
            </w:r>
          </w:p>
        </w:tc>
        <w:tc>
          <w:tcPr>
            <w:tcW w:w="6373" w:type="dxa"/>
          </w:tcPr>
          <w:p w14:paraId="05375E34" w14:textId="0A1B5169" w:rsidR="00EA7B68" w:rsidRPr="00010D5D" w:rsidRDefault="006D4D8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The</w:t>
            </w:r>
            <w:r w:rsidR="00EA7B68" w:rsidRPr="00010D5D">
              <w:rPr>
                <w:rFonts w:cstheme="minorHAnsi"/>
                <w:sz w:val="21"/>
                <w:szCs w:val="21"/>
                <w:lang w:val="en-US"/>
              </w:rPr>
              <w:t xml:space="preserve"> Ministry of Health is responsible for the development and implementation of health policies and assumes responsibilities related to monitoring, control, regulation and standardization. In addition, the </w:t>
            </w:r>
            <w:r w:rsidR="00EA7B68" w:rsidRPr="00010D5D">
              <w:rPr>
                <w:rFonts w:cstheme="minorHAnsi"/>
                <w:sz w:val="21"/>
                <w:szCs w:val="21"/>
                <w:lang w:val="en-US"/>
              </w:rPr>
              <w:lastRenderedPageBreak/>
              <w:t xml:space="preserve">Ministry of Health registers medical devices, distributes and /or store medical equipment and devices. </w:t>
            </w:r>
          </w:p>
        </w:tc>
      </w:tr>
      <w:tr w:rsidR="00084628" w:rsidRPr="00EE3E21" w14:paraId="281C5D7B"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B6EE01" w14:textId="291F755B" w:rsidR="00084628" w:rsidRPr="00715D77" w:rsidRDefault="00084628" w:rsidP="009E3C54">
            <w:pPr>
              <w:spacing w:line="276" w:lineRule="auto"/>
              <w:rPr>
                <w:rFonts w:cstheme="minorHAnsi"/>
                <w:sz w:val="21"/>
                <w:szCs w:val="21"/>
                <w:lang w:val="en-US"/>
              </w:rPr>
            </w:pPr>
            <w:r w:rsidRPr="00084628">
              <w:rPr>
                <w:rFonts w:cstheme="minorHAnsi"/>
                <w:sz w:val="21"/>
                <w:szCs w:val="21"/>
                <w:lang w:val="en-US"/>
              </w:rPr>
              <w:lastRenderedPageBreak/>
              <w:t>Bureau Public Health (BOG)</w:t>
            </w:r>
          </w:p>
        </w:tc>
        <w:tc>
          <w:tcPr>
            <w:tcW w:w="6373" w:type="dxa"/>
          </w:tcPr>
          <w:p w14:paraId="2FD561F9" w14:textId="102054A7" w:rsidR="00084628" w:rsidRPr="00010D5D" w:rsidRDefault="00084628" w:rsidP="0008462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84628">
              <w:rPr>
                <w:rFonts w:cstheme="minorHAnsi"/>
                <w:sz w:val="21"/>
                <w:szCs w:val="21"/>
                <w:lang w:val="en-US"/>
              </w:rPr>
              <w:t>Bureau Public Health (BOG)</w:t>
            </w:r>
            <w:r>
              <w:rPr>
                <w:rFonts w:cstheme="minorHAnsi"/>
                <w:sz w:val="21"/>
                <w:szCs w:val="21"/>
                <w:lang w:val="en-US"/>
              </w:rPr>
              <w:t xml:space="preserve">, </w:t>
            </w:r>
            <w:r w:rsidRPr="00084628">
              <w:rPr>
                <w:rFonts w:cstheme="minorHAnsi"/>
                <w:sz w:val="21"/>
                <w:szCs w:val="21"/>
                <w:lang w:val="en-US"/>
              </w:rPr>
              <w:t>The Central Lab is in charge of mercury testing. Mercury testing is used to detect the presence of an excessive amount of merc</w:t>
            </w:r>
            <w:r>
              <w:rPr>
                <w:rFonts w:cstheme="minorHAnsi"/>
                <w:sz w:val="21"/>
                <w:szCs w:val="21"/>
                <w:lang w:val="en-US"/>
              </w:rPr>
              <w:t xml:space="preserve">ury in a person's blood, urine </w:t>
            </w:r>
            <w:r w:rsidRPr="00084628">
              <w:rPr>
                <w:rFonts w:cstheme="minorHAnsi"/>
                <w:sz w:val="21"/>
                <w:szCs w:val="21"/>
                <w:lang w:val="en-US"/>
              </w:rPr>
              <w:t>and/or hair sample</w:t>
            </w:r>
          </w:p>
        </w:tc>
      </w:tr>
      <w:tr w:rsidR="00EA7B68" w:rsidRPr="00EE3E21" w14:paraId="25B50D61"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52D910F8" w14:textId="3462567B" w:rsidR="00EA7B68" w:rsidRPr="00010D5D" w:rsidRDefault="00C71C0C" w:rsidP="00010D5D">
            <w:pPr>
              <w:spacing w:line="276" w:lineRule="auto"/>
              <w:rPr>
                <w:rFonts w:cstheme="minorHAnsi"/>
                <w:sz w:val="21"/>
                <w:szCs w:val="21"/>
                <w:lang w:val="en-US"/>
              </w:rPr>
            </w:pPr>
            <w:r w:rsidRPr="00010D5D">
              <w:rPr>
                <w:rFonts w:cstheme="minorHAnsi"/>
                <w:sz w:val="21"/>
                <w:szCs w:val="21"/>
                <w:lang w:val="en-US"/>
              </w:rPr>
              <w:t>Ministry of Labour:</w:t>
            </w:r>
          </w:p>
        </w:tc>
        <w:tc>
          <w:tcPr>
            <w:tcW w:w="6373" w:type="dxa"/>
          </w:tcPr>
          <w:p w14:paraId="6C6CD1AF" w14:textId="24411D24" w:rsidR="00EA7B68" w:rsidRPr="00010D5D" w:rsidRDefault="00C71C0C"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The Medical Bureau of the Dept. of Labour Inspection, Ministry of Labour</w:t>
            </w:r>
            <w:r w:rsidR="006D4D8B" w:rsidRPr="00010D5D">
              <w:rPr>
                <w:rFonts w:cstheme="minorHAnsi"/>
                <w:sz w:val="21"/>
                <w:szCs w:val="21"/>
                <w:lang w:val="en-US"/>
              </w:rPr>
              <w:t>,</w:t>
            </w:r>
            <w:r w:rsidRPr="00010D5D">
              <w:rPr>
                <w:rFonts w:cstheme="minorHAnsi"/>
                <w:sz w:val="21"/>
                <w:szCs w:val="21"/>
                <w:lang w:val="en-US"/>
              </w:rPr>
              <w:t xml:space="preserve"> is in charge to safeguard the safety, wellbeing and health on the work spot. The Medical Bureau controls gold buying agents on compliance with legal requirements with regard to Hg exposure at work. </w:t>
            </w:r>
          </w:p>
        </w:tc>
      </w:tr>
      <w:tr w:rsidR="00EA7B68" w:rsidRPr="00EE3E21" w14:paraId="6FA22F11"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124CD9" w14:textId="65BE93EB" w:rsidR="00EA7B68" w:rsidRPr="00010D5D" w:rsidRDefault="00C71C0C" w:rsidP="00010D5D">
            <w:pPr>
              <w:spacing w:line="276" w:lineRule="auto"/>
              <w:rPr>
                <w:rFonts w:cstheme="minorHAnsi"/>
                <w:sz w:val="21"/>
                <w:szCs w:val="21"/>
                <w:lang w:val="en-US"/>
              </w:rPr>
            </w:pPr>
            <w:r w:rsidRPr="00010D5D">
              <w:rPr>
                <w:rFonts w:cstheme="minorHAnsi"/>
                <w:sz w:val="21"/>
                <w:szCs w:val="21"/>
                <w:lang w:val="en-US"/>
              </w:rPr>
              <w:t>World Wildlife Fund Guianas:</w:t>
            </w:r>
          </w:p>
        </w:tc>
        <w:tc>
          <w:tcPr>
            <w:tcW w:w="6373" w:type="dxa"/>
          </w:tcPr>
          <w:p w14:paraId="521AF7D3" w14:textId="08E115D3" w:rsidR="00EA7B68" w:rsidRPr="00010D5D" w:rsidRDefault="00C71C0C"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WWF has worked in Suriname, Guiana and French Guiana since the 1960s and has had a WWF Guianas office since 1999. Mining represents one of the NGO´s priority areas of action.</w:t>
            </w:r>
          </w:p>
        </w:tc>
      </w:tr>
      <w:tr w:rsidR="00EA7B68" w:rsidRPr="00EE3E21" w14:paraId="3DD30C65"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02CCB9B5" w14:textId="0BC701E2" w:rsidR="00EA7B68" w:rsidRPr="00010D5D" w:rsidRDefault="00C71C0C" w:rsidP="00010D5D">
            <w:pPr>
              <w:spacing w:line="276" w:lineRule="auto"/>
              <w:rPr>
                <w:rFonts w:cstheme="minorHAnsi"/>
                <w:sz w:val="21"/>
                <w:szCs w:val="21"/>
                <w:lang w:val="en-US"/>
              </w:rPr>
            </w:pPr>
            <w:r w:rsidRPr="00010D5D">
              <w:rPr>
                <w:rFonts w:cstheme="minorHAnsi"/>
                <w:sz w:val="21"/>
                <w:szCs w:val="21"/>
                <w:lang w:val="en-US"/>
              </w:rPr>
              <w:t>Suriname Conservation Fund (SCF):</w:t>
            </w:r>
          </w:p>
        </w:tc>
        <w:tc>
          <w:tcPr>
            <w:tcW w:w="6373" w:type="dxa"/>
          </w:tcPr>
          <w:p w14:paraId="02FCF86D" w14:textId="251E6C9A" w:rsidR="00EA7B68" w:rsidRPr="00010D5D" w:rsidRDefault="00C71C0C" w:rsidP="00DA6BC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SCF focus area is to provide funding for projects that improve the protection or improve the sustainable use of the biodiversity of the Suriname rainforest.</w:t>
            </w:r>
          </w:p>
        </w:tc>
      </w:tr>
      <w:tr w:rsidR="00C71C0C" w:rsidRPr="00EE3E21" w14:paraId="2DA229C3"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55E7223" w14:textId="5ADB39AE" w:rsidR="00C71C0C" w:rsidRPr="00010D5D" w:rsidRDefault="00C71C0C" w:rsidP="00010D5D">
            <w:pPr>
              <w:spacing w:line="276" w:lineRule="auto"/>
              <w:rPr>
                <w:rFonts w:cstheme="minorHAnsi"/>
                <w:sz w:val="21"/>
                <w:szCs w:val="21"/>
                <w:lang w:val="en-US"/>
              </w:rPr>
            </w:pPr>
            <w:r w:rsidRPr="00010D5D">
              <w:rPr>
                <w:rFonts w:cstheme="minorHAnsi"/>
                <w:sz w:val="21"/>
                <w:szCs w:val="21"/>
                <w:lang w:val="en-US"/>
              </w:rPr>
              <w:t>Suriname Environmental and Mining Foundation (SEMIF):</w:t>
            </w:r>
          </w:p>
        </w:tc>
        <w:tc>
          <w:tcPr>
            <w:tcW w:w="6373" w:type="dxa"/>
          </w:tcPr>
          <w:p w14:paraId="634D7584" w14:textId="1B391089" w:rsidR="00C71C0C" w:rsidRPr="00010D5D" w:rsidRDefault="006D4D8B"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This</w:t>
            </w:r>
            <w:r w:rsidR="00C71C0C" w:rsidRPr="00010D5D">
              <w:rPr>
                <w:rFonts w:cstheme="minorHAnsi"/>
                <w:sz w:val="21"/>
                <w:szCs w:val="21"/>
                <w:lang w:val="en-US"/>
              </w:rPr>
              <w:t xml:space="preserve"> foundation was established in 2008 and </w:t>
            </w:r>
            <w:r w:rsidR="00AA0BFC" w:rsidRPr="00010D5D">
              <w:rPr>
                <w:rFonts w:cstheme="minorHAnsi"/>
                <w:sz w:val="21"/>
                <w:szCs w:val="21"/>
                <w:lang w:val="en-US"/>
              </w:rPr>
              <w:t>receives</w:t>
            </w:r>
            <w:r w:rsidR="00C71C0C" w:rsidRPr="00010D5D">
              <w:rPr>
                <w:rFonts w:cstheme="minorHAnsi"/>
                <w:sz w:val="21"/>
                <w:szCs w:val="21"/>
                <w:lang w:val="en-US"/>
              </w:rPr>
              <w:t xml:space="preserve"> 0,25% of the royalties of the operation of Rosebel Gold Mines N.V. (subsidiary of IAMGOLD corporation) in Suriname.</w:t>
            </w:r>
          </w:p>
        </w:tc>
      </w:tr>
      <w:tr w:rsidR="00C71C0C" w:rsidRPr="00EE3E21" w14:paraId="3FF85C16"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1DDF70F3" w14:textId="20B86B58" w:rsidR="00C71C0C" w:rsidRPr="00010D5D" w:rsidRDefault="00C71C0C" w:rsidP="00010D5D">
            <w:pPr>
              <w:spacing w:line="276" w:lineRule="auto"/>
              <w:rPr>
                <w:rFonts w:cstheme="minorHAnsi"/>
                <w:sz w:val="21"/>
                <w:szCs w:val="21"/>
                <w:lang w:val="en-US"/>
              </w:rPr>
            </w:pPr>
            <w:r w:rsidRPr="00010D5D">
              <w:rPr>
                <w:rFonts w:cstheme="minorHAnsi"/>
                <w:sz w:val="21"/>
                <w:szCs w:val="21"/>
                <w:lang w:val="en-US"/>
              </w:rPr>
              <w:t>Foundation Makamboa:</w:t>
            </w:r>
          </w:p>
        </w:tc>
        <w:tc>
          <w:tcPr>
            <w:tcW w:w="6373" w:type="dxa"/>
          </w:tcPr>
          <w:p w14:paraId="482066DB" w14:textId="0811A58D" w:rsidR="00C71C0C" w:rsidRPr="00010D5D" w:rsidRDefault="006D4D8B"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This</w:t>
            </w:r>
            <w:r w:rsidR="00C71C0C" w:rsidRPr="00010D5D">
              <w:rPr>
                <w:rFonts w:cstheme="minorHAnsi"/>
                <w:sz w:val="21"/>
                <w:szCs w:val="21"/>
                <w:lang w:val="en-US"/>
              </w:rPr>
              <w:t xml:space="preserve"> is an Association of small scale miners from the village of Nieuw Koffiekamp, situated in the concession of IAMGOLD – Rosebel Gold Mines NV. This is the first time a group of small scale miners has organized itself in a foundation.</w:t>
            </w:r>
          </w:p>
          <w:p w14:paraId="1FFCCAAF" w14:textId="77777777" w:rsidR="00C71C0C" w:rsidRPr="00010D5D" w:rsidRDefault="00C71C0C"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p>
        </w:tc>
      </w:tr>
      <w:tr w:rsidR="00C71C0C" w:rsidRPr="00EE3E21" w14:paraId="3D3D6C03"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D1C2A1" w14:textId="432BCE0A" w:rsidR="00C71C0C" w:rsidRPr="00010D5D" w:rsidRDefault="00C71C0C" w:rsidP="00010D5D">
            <w:pPr>
              <w:spacing w:line="276" w:lineRule="auto"/>
              <w:rPr>
                <w:rFonts w:cstheme="minorHAnsi"/>
                <w:sz w:val="21"/>
                <w:szCs w:val="21"/>
                <w:lang w:val="en-US"/>
              </w:rPr>
            </w:pPr>
            <w:r w:rsidRPr="00010D5D">
              <w:rPr>
                <w:rFonts w:cstheme="minorHAnsi"/>
                <w:sz w:val="21"/>
                <w:szCs w:val="21"/>
                <w:lang w:val="en-US"/>
              </w:rPr>
              <w:t>Private Sector (ASGM miners groups):</w:t>
            </w:r>
          </w:p>
        </w:tc>
        <w:tc>
          <w:tcPr>
            <w:tcW w:w="6373" w:type="dxa"/>
          </w:tcPr>
          <w:p w14:paraId="51CA61E2" w14:textId="76809412" w:rsidR="00C71C0C" w:rsidRPr="00010D5D" w:rsidRDefault="006D4D8B"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Involved</w:t>
            </w:r>
            <w:r w:rsidR="00C71C0C" w:rsidRPr="00010D5D">
              <w:rPr>
                <w:rFonts w:cstheme="minorHAnsi"/>
                <w:sz w:val="21"/>
                <w:szCs w:val="21"/>
                <w:lang w:val="en-US"/>
              </w:rPr>
              <w:t xml:space="preserve"> in various important aspects of the proposed project, consultations will be carried out with formally registered and informal small-scale mining groups, such as Godo Olo, MaLobi, sela kreek, Pakira kondre, and upper Saramaccan area (Matuariers maroon group).</w:t>
            </w:r>
          </w:p>
          <w:p w14:paraId="4F24437A" w14:textId="77777777" w:rsidR="00C71C0C" w:rsidRPr="00010D5D" w:rsidRDefault="00C71C0C" w:rsidP="00010D5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p>
        </w:tc>
      </w:tr>
      <w:tr w:rsidR="00C71C0C" w:rsidRPr="00EE3E21" w14:paraId="57614F6B"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48B1A03F" w14:textId="38CA938F" w:rsidR="00C71C0C" w:rsidRPr="00010D5D" w:rsidRDefault="00C71C0C" w:rsidP="00010D5D">
            <w:pPr>
              <w:spacing w:line="276" w:lineRule="auto"/>
              <w:rPr>
                <w:rFonts w:cstheme="minorHAnsi"/>
                <w:sz w:val="21"/>
                <w:szCs w:val="21"/>
                <w:lang w:val="en-US"/>
              </w:rPr>
            </w:pPr>
            <w:r w:rsidRPr="00010D5D">
              <w:rPr>
                <w:rFonts w:cstheme="minorHAnsi"/>
                <w:sz w:val="21"/>
                <w:szCs w:val="21"/>
                <w:lang w:val="en-US"/>
              </w:rPr>
              <w:t xml:space="preserve">Indigenous and </w:t>
            </w:r>
            <w:r w:rsidR="00084628">
              <w:rPr>
                <w:rFonts w:cstheme="minorHAnsi"/>
                <w:sz w:val="21"/>
                <w:szCs w:val="21"/>
                <w:lang w:val="en-US"/>
              </w:rPr>
              <w:t>Tribal Communities</w:t>
            </w:r>
            <w:r w:rsidRPr="00010D5D">
              <w:rPr>
                <w:rFonts w:cstheme="minorHAnsi"/>
                <w:sz w:val="21"/>
                <w:szCs w:val="21"/>
                <w:lang w:val="en-US"/>
              </w:rPr>
              <w:t>:</w:t>
            </w:r>
          </w:p>
        </w:tc>
        <w:tc>
          <w:tcPr>
            <w:tcW w:w="6373" w:type="dxa"/>
          </w:tcPr>
          <w:p w14:paraId="615D67BB" w14:textId="28D764E4" w:rsidR="00C71C0C" w:rsidRPr="00010D5D" w:rsidRDefault="006D4D8B"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010D5D">
              <w:rPr>
                <w:rFonts w:cstheme="minorHAnsi"/>
                <w:sz w:val="21"/>
                <w:szCs w:val="21"/>
                <w:lang w:val="en-US"/>
              </w:rPr>
              <w:t>There</w:t>
            </w:r>
            <w:r w:rsidR="00C71C0C" w:rsidRPr="00010D5D">
              <w:rPr>
                <w:rFonts w:cstheme="minorHAnsi"/>
                <w:sz w:val="21"/>
                <w:szCs w:val="21"/>
                <w:lang w:val="en-US"/>
              </w:rPr>
              <w:t xml:space="preserve"> are several indigenous and Maroon tribes living in the interior of Suriname, including Trio, Wayana, Arowak, Caraib, Saramaccan, Aucaan, Matuarier, Paramacca, Kwinti and Aluku People – that are dependent on natural resources contaminated with Mercury, for their livelihoods. Different Indigenous and Maroon tribal groups, clans, and extended families claim specified areas of the interior as their ancestral lands. When ASGM takes place on their lands, a (formal or self-appointed) representative of the land claim holder will request concession fee payment from the gold miners. These payments may also take place in kind, for example, fuel for the community generator (Social Solution, 2016).</w:t>
            </w:r>
          </w:p>
        </w:tc>
      </w:tr>
      <w:tr w:rsidR="00C71C0C" w:rsidRPr="00EE3E21" w14:paraId="38A2EF04" w14:textId="77777777" w:rsidTr="00EE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E5EF39" w14:textId="7200656C" w:rsidR="00C71C0C" w:rsidRPr="00010D5D" w:rsidRDefault="00C71C0C" w:rsidP="00010D5D">
            <w:pPr>
              <w:spacing w:line="276" w:lineRule="auto"/>
              <w:rPr>
                <w:rFonts w:cstheme="minorHAnsi"/>
                <w:sz w:val="21"/>
                <w:szCs w:val="21"/>
                <w:lang w:val="en-US"/>
              </w:rPr>
            </w:pPr>
            <w:r w:rsidRPr="00010D5D">
              <w:rPr>
                <w:rFonts w:cstheme="minorHAnsi"/>
                <w:sz w:val="21"/>
                <w:szCs w:val="21"/>
                <w:lang w:val="en-US"/>
              </w:rPr>
              <w:t>School of Geology and Mining Technology:</w:t>
            </w:r>
          </w:p>
        </w:tc>
        <w:tc>
          <w:tcPr>
            <w:tcW w:w="6373" w:type="dxa"/>
          </w:tcPr>
          <w:p w14:paraId="3617584A" w14:textId="57E91569" w:rsidR="00C71C0C" w:rsidRPr="00010D5D" w:rsidRDefault="00C71C0C" w:rsidP="009B361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010D5D">
              <w:rPr>
                <w:rFonts w:cstheme="minorHAnsi"/>
                <w:sz w:val="21"/>
                <w:szCs w:val="21"/>
                <w:lang w:val="en-US"/>
              </w:rPr>
              <w:t xml:space="preserve">In 2015, the SGMT at UNASAT started offering a 6-month bachelor level course on mercury-free gold mining technologies for graduates of the secondary technical school NATIN and bachelor students of mining. The course teaches competencies to work Hg-free in exploration, concentration and purification phases of gold mining. Field training for students takes place in Brokopondo district within OGS installed mining reserves (Km. 58 and Km. 68 of the Atjoni road) and in the Paamaka </w:t>
            </w:r>
            <w:r w:rsidRPr="00010D5D">
              <w:rPr>
                <w:rFonts w:cstheme="minorHAnsi"/>
                <w:sz w:val="21"/>
                <w:szCs w:val="21"/>
                <w:lang w:val="en-US"/>
              </w:rPr>
              <w:lastRenderedPageBreak/>
              <w:t>gold mining reserve near Snesi Kondre/Merian), which the OGS allocated to UNASAT. UNASAT/SGMT works with the i-concentrator (i-con) and shaking table. The school receives –partly in-kind- support from Surgold. Two UNASAT/SGMT graduates were involved in the testing of an Hg-free mining plant (i-con) on the mining concession of Surgold. The graduates also trained and guided one team of gold miners in a pilot project to promote Hg-free mining among ASGM.</w:t>
            </w:r>
          </w:p>
        </w:tc>
      </w:tr>
      <w:tr w:rsidR="00C71C0C" w:rsidRPr="00EE3E21" w14:paraId="172ADB10" w14:textId="77777777" w:rsidTr="00EE3E21">
        <w:tc>
          <w:tcPr>
            <w:cnfStyle w:val="001000000000" w:firstRow="0" w:lastRow="0" w:firstColumn="1" w:lastColumn="0" w:oddVBand="0" w:evenVBand="0" w:oddHBand="0" w:evenHBand="0" w:firstRowFirstColumn="0" w:firstRowLastColumn="0" w:lastRowFirstColumn="0" w:lastRowLastColumn="0"/>
            <w:tcW w:w="2689" w:type="dxa"/>
          </w:tcPr>
          <w:p w14:paraId="1DC038BC" w14:textId="437F4B18" w:rsidR="00C71C0C" w:rsidRPr="00364C06" w:rsidRDefault="009B361D" w:rsidP="00010D5D">
            <w:pPr>
              <w:spacing w:line="276" w:lineRule="auto"/>
              <w:rPr>
                <w:rFonts w:cstheme="minorHAnsi"/>
                <w:sz w:val="21"/>
                <w:szCs w:val="21"/>
              </w:rPr>
            </w:pPr>
            <w:r w:rsidRPr="00364C06">
              <w:rPr>
                <w:rFonts w:cstheme="minorHAnsi"/>
                <w:sz w:val="21"/>
                <w:szCs w:val="21"/>
              </w:rPr>
              <w:lastRenderedPageBreak/>
              <w:t>Stichting Platform Binnenlandse Ondernemers (SPBO)</w:t>
            </w:r>
          </w:p>
        </w:tc>
        <w:tc>
          <w:tcPr>
            <w:tcW w:w="6373" w:type="dxa"/>
          </w:tcPr>
          <w:p w14:paraId="724D3659" w14:textId="58D55B89" w:rsidR="00C71C0C" w:rsidRPr="00F924B1" w:rsidRDefault="00F924B1" w:rsidP="00010D5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en-US"/>
              </w:rPr>
            </w:pPr>
            <w:r w:rsidRPr="00364C06">
              <w:rPr>
                <w:rFonts w:cstheme="minorHAnsi"/>
                <w:sz w:val="21"/>
                <w:szCs w:val="21"/>
                <w:lang w:val="en-US"/>
              </w:rPr>
              <w:t>Fo</w:t>
            </w:r>
            <w:r w:rsidR="00AA0BFC">
              <w:rPr>
                <w:rFonts w:cstheme="minorHAnsi"/>
                <w:sz w:val="21"/>
                <w:szCs w:val="21"/>
                <w:lang w:val="en-US"/>
              </w:rPr>
              <w:t>u</w:t>
            </w:r>
            <w:r w:rsidRPr="00364C06">
              <w:rPr>
                <w:rFonts w:cstheme="minorHAnsi"/>
                <w:sz w:val="21"/>
                <w:szCs w:val="21"/>
                <w:lang w:val="en-US"/>
              </w:rPr>
              <w:t xml:space="preserve">ndation established in 2011 focusing in supporting the </w:t>
            </w:r>
            <w:r w:rsidR="00487C00" w:rsidRPr="00364C06">
              <w:rPr>
                <w:rFonts w:cstheme="minorHAnsi"/>
                <w:sz w:val="21"/>
                <w:szCs w:val="21"/>
                <w:lang w:val="en-US"/>
              </w:rPr>
              <w:t>entrepreneurs</w:t>
            </w:r>
            <w:r w:rsidRPr="00364C06">
              <w:rPr>
                <w:rFonts w:cstheme="minorHAnsi"/>
                <w:sz w:val="21"/>
                <w:szCs w:val="21"/>
                <w:lang w:val="en-US"/>
              </w:rPr>
              <w:t xml:space="preserve"> (especially the gold </w:t>
            </w:r>
            <w:r w:rsidR="00487C00" w:rsidRPr="00364C06">
              <w:rPr>
                <w:rFonts w:cstheme="minorHAnsi"/>
                <w:sz w:val="21"/>
                <w:szCs w:val="21"/>
                <w:lang w:val="en-US"/>
              </w:rPr>
              <w:t>entrepreneurs</w:t>
            </w:r>
            <w:r w:rsidRPr="00364C06">
              <w:rPr>
                <w:rFonts w:cstheme="minorHAnsi"/>
                <w:sz w:val="21"/>
                <w:szCs w:val="21"/>
                <w:lang w:val="en-US"/>
              </w:rPr>
              <w:t>) in the interior of Suriname.</w:t>
            </w:r>
          </w:p>
        </w:tc>
      </w:tr>
    </w:tbl>
    <w:p w14:paraId="48938967" w14:textId="024AC397" w:rsidR="00141988" w:rsidRDefault="00141988" w:rsidP="00141988">
      <w:pPr>
        <w:rPr>
          <w:lang w:val="en-US"/>
        </w:rPr>
      </w:pPr>
    </w:p>
    <w:p w14:paraId="682754BC" w14:textId="47EA8CFC" w:rsidR="001C4C6E" w:rsidRPr="00F924B1" w:rsidRDefault="001C4C6E" w:rsidP="00141988">
      <w:pPr>
        <w:rPr>
          <w:lang w:val="en-US"/>
        </w:rPr>
      </w:pPr>
      <w:r>
        <w:rPr>
          <w:lang w:val="en-US"/>
        </w:rPr>
        <w:t>Table 1: Key stakeholders within the ASGM</w:t>
      </w:r>
    </w:p>
    <w:p w14:paraId="61B8DD0F" w14:textId="77777777" w:rsidR="00DF39DD" w:rsidRPr="006451BA" w:rsidRDefault="00DF39DD" w:rsidP="00AA15F8">
      <w:pPr>
        <w:pStyle w:val="Heading1"/>
        <w:numPr>
          <w:ilvl w:val="0"/>
          <w:numId w:val="26"/>
        </w:numPr>
      </w:pPr>
      <w:bookmarkStart w:id="14" w:name="_Toc487589371"/>
      <w:r w:rsidRPr="006451BA">
        <w:t>Gender Dimensions</w:t>
      </w:r>
      <w:bookmarkEnd w:id="14"/>
    </w:p>
    <w:p w14:paraId="65C4B408" w14:textId="087A530C" w:rsidR="004A46CA" w:rsidRDefault="004A46CA" w:rsidP="004A46CA">
      <w:pPr>
        <w:rPr>
          <w:lang w:val="en-US"/>
        </w:rPr>
      </w:pPr>
      <w:r w:rsidRPr="009E3C54">
        <w:rPr>
          <w:lang w:val="en-US"/>
        </w:rPr>
        <w:t>Women count for approximate 15-20 percent of the ASGM population incl. service sector (Social Solutions, 2016). Women are most prominently present in the mining service sector or sometimes as managers or (as wife of) equipment owners. Recognizing that the level of exposure to mercury and its related effects on human health are determined by social and biological factors, women, children and men might be exposed to different kinds, levels and frequency of mercury. Thus, gender mainstreaming will play a key role in the development of NAP and will be an integral part of the project activities.</w:t>
      </w:r>
    </w:p>
    <w:p w14:paraId="0C056CA2" w14:textId="28DA3681" w:rsidR="00DF39DD" w:rsidRDefault="00DF39DD" w:rsidP="00DF39DD">
      <w:pPr>
        <w:rPr>
          <w:lang w:val="en-US"/>
        </w:rPr>
      </w:pPr>
      <w:r w:rsidRPr="00DF39DD">
        <w:rPr>
          <w:lang w:val="en-US"/>
        </w:rPr>
        <w:t xml:space="preserve">Generally, two groups are more </w:t>
      </w:r>
      <w:r w:rsidR="007F54AA" w:rsidRPr="00DF39DD">
        <w:rPr>
          <w:lang w:val="en-US"/>
        </w:rPr>
        <w:t>sensitive</w:t>
      </w:r>
      <w:r w:rsidRPr="00DF39DD">
        <w:rPr>
          <w:lang w:val="en-US"/>
        </w:rPr>
        <w:t xml:space="preserve"> to the effects of mercury. Fetuses and people who are regularly exposed (chronic exposure) to high levels of Mercury (such as populations that rely on subsistence fishing or people who are occupationally exposed). As mercury is passed on f</w:t>
      </w:r>
      <w:r w:rsidR="007F54AA">
        <w:rPr>
          <w:lang w:val="en-US"/>
        </w:rPr>
        <w:t>rom mother to child, fetuses</w:t>
      </w:r>
      <w:r w:rsidRPr="00DF39DD">
        <w:rPr>
          <w:lang w:val="en-US"/>
        </w:rPr>
        <w:t xml:space="preserve"> and childre</w:t>
      </w:r>
      <w:r w:rsidR="007F54AA">
        <w:rPr>
          <w:lang w:val="en-US"/>
        </w:rPr>
        <w:t>n</w:t>
      </w:r>
      <w:r w:rsidRPr="00DF39DD">
        <w:rPr>
          <w:lang w:val="en-US"/>
        </w:rPr>
        <w:t xml:space="preserve"> are most susceptible to development effects due to mercury. The NAP will pay particular attention to assessing national capacity to keep such risk groups safe. Recommendations on how to </w:t>
      </w:r>
      <w:r w:rsidR="00743EC9" w:rsidRPr="00DF39DD">
        <w:rPr>
          <w:lang w:val="en-US"/>
        </w:rPr>
        <w:t>improve</w:t>
      </w:r>
      <w:r w:rsidRPr="00DF39DD">
        <w:rPr>
          <w:lang w:val="en-US"/>
        </w:rPr>
        <w:t xml:space="preserve"> gender dimensions and gender mainstreaming related to Mercury, and priorities actions in this area will be highlighted in the NAP report.</w:t>
      </w:r>
    </w:p>
    <w:p w14:paraId="373FA5A5" w14:textId="77777777" w:rsidR="00C63FE0" w:rsidRDefault="00C63FE0" w:rsidP="00DF39DD">
      <w:pPr>
        <w:rPr>
          <w:lang w:val="en-US"/>
        </w:rPr>
      </w:pPr>
    </w:p>
    <w:p w14:paraId="0234CF83" w14:textId="77777777" w:rsidR="00743EC9" w:rsidRDefault="00743EC9" w:rsidP="003222D4">
      <w:pPr>
        <w:rPr>
          <w:lang w:val="en-US"/>
        </w:rPr>
      </w:pPr>
    </w:p>
    <w:p w14:paraId="3F0988F7" w14:textId="77777777" w:rsidR="00743EC9" w:rsidRPr="006451BA" w:rsidRDefault="00743EC9" w:rsidP="00AA15F8">
      <w:pPr>
        <w:pStyle w:val="Heading1"/>
        <w:numPr>
          <w:ilvl w:val="0"/>
          <w:numId w:val="26"/>
        </w:numPr>
      </w:pPr>
      <w:bookmarkStart w:id="15" w:name="_Toc487589372"/>
      <w:r w:rsidRPr="006451BA">
        <w:t>Feasibility</w:t>
      </w:r>
      <w:bookmarkEnd w:id="15"/>
    </w:p>
    <w:p w14:paraId="6BD8444C" w14:textId="77777777" w:rsidR="00743EC9" w:rsidRPr="00743EC9" w:rsidRDefault="00743EC9" w:rsidP="00743EC9">
      <w:pPr>
        <w:rPr>
          <w:lang w:val="en-US"/>
        </w:rPr>
      </w:pPr>
      <w:r w:rsidRPr="00743EC9">
        <w:rPr>
          <w:lang w:val="en-US"/>
        </w:rPr>
        <w:t>Cost efficiency and effectiveness: The cost-effectiveness of the project will be assured through the management of the project with synergies from other POPs- and chemicals-related projects in Suriname. The project will involve national experts as much as possible to facilitate the collection of accurate information and to establish a high-responsiveness of the project to keep a steady momentum in project implementation with an international technical advisor providing succinct, specific input where local expertise gaps exist. Information dissemination with the general public and specific local communities will be more effective through integrating the work through existing activities</w:t>
      </w:r>
    </w:p>
    <w:p w14:paraId="20B366AA" w14:textId="308FDD4D" w:rsidR="00E12BA4" w:rsidRPr="009E3C54" w:rsidRDefault="00E12BA4" w:rsidP="00743EC9">
      <w:pPr>
        <w:rPr>
          <w:rFonts w:cstheme="minorHAnsi"/>
          <w:lang w:val="en-US"/>
        </w:rPr>
      </w:pPr>
      <w:r w:rsidRPr="009E3C54">
        <w:rPr>
          <w:rFonts w:cstheme="minorHAnsi"/>
          <w:lang w:val="en-US"/>
        </w:rPr>
        <w:t xml:space="preserve">Currently, a draft of the Minamata Initial </w:t>
      </w:r>
      <w:r w:rsidR="00A35EEA" w:rsidRPr="009E3C54">
        <w:rPr>
          <w:rFonts w:cstheme="minorHAnsi"/>
          <w:lang w:val="en-US"/>
        </w:rPr>
        <w:t>Assessment</w:t>
      </w:r>
      <w:r w:rsidRPr="009E3C54">
        <w:rPr>
          <w:rFonts w:cstheme="minorHAnsi"/>
          <w:lang w:val="en-US"/>
        </w:rPr>
        <w:t xml:space="preserve"> is being prepared in</w:t>
      </w:r>
      <w:r w:rsidR="00A35EEA" w:rsidRPr="009E3C54">
        <w:rPr>
          <w:rFonts w:cstheme="minorHAnsi"/>
          <w:lang w:val="en-US"/>
        </w:rPr>
        <w:t xml:space="preserve"> Suriname</w:t>
      </w:r>
      <w:r w:rsidRPr="009E3C54">
        <w:rPr>
          <w:rFonts w:cstheme="minorHAnsi"/>
          <w:lang w:val="en-US"/>
        </w:rPr>
        <w:t>. The development of a NAP focused on the ASGM sector complements the MIA initiative and that the country can achieve the objectives of the implementation phase of the Convention</w:t>
      </w:r>
    </w:p>
    <w:p w14:paraId="1D765071" w14:textId="0AFDEB16" w:rsidR="00E12BA4" w:rsidRPr="009E3C54" w:rsidRDefault="00E12BA4" w:rsidP="00743EC9">
      <w:pPr>
        <w:rPr>
          <w:lang w:val="en-US"/>
        </w:rPr>
      </w:pPr>
      <w:r w:rsidRPr="009E3C54">
        <w:rPr>
          <w:lang w:val="en-US"/>
        </w:rPr>
        <w:lastRenderedPageBreak/>
        <w:t xml:space="preserve">The efforts made by </w:t>
      </w:r>
      <w:r w:rsidR="00A35EEA" w:rsidRPr="009E3C54">
        <w:rPr>
          <w:lang w:val="en-US"/>
        </w:rPr>
        <w:t>Suriname</w:t>
      </w:r>
      <w:r w:rsidRPr="009E3C54">
        <w:rPr>
          <w:lang w:val="en-US"/>
        </w:rPr>
        <w:t>, mentioned above, show that this project is fully in line with the country's goal to map and prevent environmental and health problems related to mercury in the ASGM sector and to invest in technological solutions and capacity development institution to fulfill obligations under the Minamata Convention</w:t>
      </w:r>
    </w:p>
    <w:p w14:paraId="5EF8B9DE" w14:textId="44980D2D" w:rsidR="00E12BA4" w:rsidRDefault="001768FB" w:rsidP="00743EC9">
      <w:pPr>
        <w:rPr>
          <w:lang w:val="en-US"/>
        </w:rPr>
      </w:pPr>
      <w:r w:rsidRPr="009E3C54">
        <w:rPr>
          <w:lang w:val="en-US"/>
        </w:rPr>
        <w:t>The integration of outcomes and deliverables of this project is also expected to provide significant input to the PPG full sized GEF project. In this respect, enhanced capacities and knowledge on the use and releases of mercury at the ASGM sector will facilitate the development and/or update of current policies and enforcement practices in a more efficient and resource saving approach.</w:t>
      </w:r>
    </w:p>
    <w:p w14:paraId="06FF6A0B" w14:textId="77777777" w:rsidR="00E12BA4" w:rsidRDefault="00E12BA4" w:rsidP="00743EC9">
      <w:pPr>
        <w:rPr>
          <w:lang w:val="en-US"/>
        </w:rPr>
      </w:pPr>
    </w:p>
    <w:p w14:paraId="20781D48" w14:textId="77777777" w:rsidR="001C4C6E" w:rsidRDefault="001C4C6E" w:rsidP="00743EC9">
      <w:pPr>
        <w:rPr>
          <w:b/>
          <w:lang w:val="en-US"/>
        </w:rPr>
      </w:pPr>
    </w:p>
    <w:p w14:paraId="3B0823C8" w14:textId="77777777" w:rsidR="001C4C6E" w:rsidRDefault="001C4C6E" w:rsidP="00743EC9">
      <w:pPr>
        <w:rPr>
          <w:b/>
          <w:lang w:val="en-US"/>
        </w:rPr>
      </w:pPr>
    </w:p>
    <w:p w14:paraId="0F93ED28" w14:textId="54FFCBA4" w:rsidR="00743EC9" w:rsidRPr="00715D77" w:rsidRDefault="001C4C6E" w:rsidP="00743EC9">
      <w:pPr>
        <w:rPr>
          <w:b/>
          <w:lang w:val="en-US"/>
        </w:rPr>
      </w:pPr>
      <w:r>
        <w:rPr>
          <w:b/>
          <w:lang w:val="en-US"/>
        </w:rPr>
        <w:t>R</w:t>
      </w:r>
      <w:r w:rsidR="00743EC9" w:rsidRPr="00715D77">
        <w:rPr>
          <w:b/>
          <w:lang w:val="en-US"/>
        </w:rPr>
        <w:t xml:space="preserve">isk Management:  </w:t>
      </w:r>
    </w:p>
    <w:tbl>
      <w:tblPr>
        <w:tblStyle w:val="GridTable4-Accent6"/>
        <w:tblW w:w="10080" w:type="dxa"/>
        <w:tblLayout w:type="fixed"/>
        <w:tblLook w:val="01E0" w:firstRow="1" w:lastRow="1" w:firstColumn="1" w:lastColumn="1" w:noHBand="0" w:noVBand="0"/>
      </w:tblPr>
      <w:tblGrid>
        <w:gridCol w:w="1620"/>
        <w:gridCol w:w="1530"/>
        <w:gridCol w:w="2250"/>
        <w:gridCol w:w="2250"/>
        <w:gridCol w:w="1260"/>
        <w:gridCol w:w="1170"/>
      </w:tblGrid>
      <w:tr w:rsidR="00743EC9" w:rsidRPr="00715D77" w14:paraId="7F24D212" w14:textId="77777777" w:rsidTr="00AA0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6"/>
          </w:tcPr>
          <w:p w14:paraId="38FDE41C" w14:textId="77777777" w:rsidR="00743EC9" w:rsidRPr="00715D77" w:rsidRDefault="00743EC9" w:rsidP="00743EC9">
            <w:pPr>
              <w:spacing w:after="60"/>
              <w:jc w:val="center"/>
              <w:rPr>
                <w:rFonts w:ascii="Calibri" w:eastAsia="SimSun" w:hAnsi="Calibri" w:cs="Arial"/>
                <w:szCs w:val="20"/>
                <w:lang w:val="en-US"/>
              </w:rPr>
            </w:pPr>
            <w:r w:rsidRPr="00715D77">
              <w:rPr>
                <w:rFonts w:ascii="Calibri" w:eastAsia="SimSun" w:hAnsi="Calibri" w:cs="Arial"/>
                <w:szCs w:val="20"/>
                <w:lang w:val="en-US"/>
              </w:rPr>
              <w:t>Project risks</w:t>
            </w:r>
          </w:p>
        </w:tc>
      </w:tr>
      <w:tr w:rsidR="00743EC9" w:rsidRPr="00715D77" w14:paraId="577CE316" w14:textId="77777777" w:rsidTr="00AA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29BFCD1" w14:textId="77777777" w:rsidR="00743EC9" w:rsidRPr="00715D77" w:rsidRDefault="00743EC9" w:rsidP="00743EC9">
            <w:pPr>
              <w:spacing w:after="60"/>
              <w:jc w:val="both"/>
              <w:rPr>
                <w:rFonts w:ascii="Calibri" w:eastAsia="SimSun" w:hAnsi="Calibri" w:cs="Arial"/>
                <w:sz w:val="20"/>
                <w:szCs w:val="20"/>
                <w:lang w:val="en-US"/>
              </w:rPr>
            </w:pPr>
            <w:r w:rsidRPr="00715D77">
              <w:rPr>
                <w:rFonts w:ascii="Calibri" w:eastAsia="SimSun" w:hAnsi="Calibri" w:cs="Arial"/>
                <w:sz w:val="20"/>
                <w:szCs w:val="20"/>
                <w:lang w:val="en-US"/>
              </w:rPr>
              <w:t>Description</w:t>
            </w:r>
          </w:p>
        </w:tc>
        <w:tc>
          <w:tcPr>
            <w:cnfStyle w:val="000010000000" w:firstRow="0" w:lastRow="0" w:firstColumn="0" w:lastColumn="0" w:oddVBand="1" w:evenVBand="0" w:oddHBand="0" w:evenHBand="0" w:firstRowFirstColumn="0" w:firstRowLastColumn="0" w:lastRowFirstColumn="0" w:lastRowLastColumn="0"/>
            <w:tcW w:w="1530" w:type="dxa"/>
          </w:tcPr>
          <w:p w14:paraId="753EB690" w14:textId="77777777" w:rsidR="00743EC9" w:rsidRPr="00715D77" w:rsidRDefault="00743EC9" w:rsidP="00743EC9">
            <w:pPr>
              <w:spacing w:after="60"/>
              <w:jc w:val="both"/>
              <w:rPr>
                <w:rFonts w:ascii="Calibri" w:eastAsia="SimSun" w:hAnsi="Calibri" w:cs="Arial"/>
                <w:b/>
                <w:sz w:val="20"/>
                <w:szCs w:val="20"/>
                <w:lang w:val="en-US"/>
              </w:rPr>
            </w:pPr>
            <w:r w:rsidRPr="00715D77">
              <w:rPr>
                <w:rFonts w:ascii="Calibri" w:eastAsia="SimSun" w:hAnsi="Calibri" w:cs="Arial"/>
                <w:b/>
                <w:sz w:val="20"/>
                <w:szCs w:val="20"/>
                <w:lang w:val="en-US"/>
              </w:rPr>
              <w:t>Type</w:t>
            </w:r>
          </w:p>
        </w:tc>
        <w:tc>
          <w:tcPr>
            <w:tcW w:w="2250" w:type="dxa"/>
          </w:tcPr>
          <w:p w14:paraId="01EEADF3" w14:textId="77777777" w:rsidR="00743EC9" w:rsidRPr="00715D77" w:rsidRDefault="00743EC9" w:rsidP="00743EC9">
            <w:pPr>
              <w:spacing w:after="60"/>
              <w:jc w:val="both"/>
              <w:cnfStyle w:val="000000100000" w:firstRow="0" w:lastRow="0" w:firstColumn="0" w:lastColumn="0" w:oddVBand="0" w:evenVBand="0" w:oddHBand="1" w:evenHBand="0" w:firstRowFirstColumn="0" w:firstRowLastColumn="0" w:lastRowFirstColumn="0" w:lastRowLastColumn="0"/>
              <w:rPr>
                <w:rFonts w:ascii="Calibri" w:eastAsia="SimSun" w:hAnsi="Calibri" w:cs="Arial"/>
                <w:b/>
                <w:sz w:val="20"/>
                <w:szCs w:val="20"/>
                <w:lang w:val="en-US"/>
              </w:rPr>
            </w:pPr>
            <w:r w:rsidRPr="00715D77">
              <w:rPr>
                <w:rFonts w:ascii="Calibri" w:eastAsia="SimSun" w:hAnsi="Calibri" w:cs="Arial"/>
                <w:b/>
                <w:sz w:val="20"/>
                <w:szCs w:val="20"/>
                <w:lang w:val="en-US"/>
              </w:rPr>
              <w:t>Impact &amp;</w:t>
            </w:r>
          </w:p>
          <w:p w14:paraId="3C93EBAA" w14:textId="77777777" w:rsidR="00743EC9" w:rsidRPr="00715D77" w:rsidRDefault="00743EC9" w:rsidP="00743EC9">
            <w:pPr>
              <w:spacing w:after="60"/>
              <w:jc w:val="both"/>
              <w:cnfStyle w:val="000000100000" w:firstRow="0" w:lastRow="0" w:firstColumn="0" w:lastColumn="0" w:oddVBand="0" w:evenVBand="0" w:oddHBand="1" w:evenHBand="0" w:firstRowFirstColumn="0" w:firstRowLastColumn="0" w:lastRowFirstColumn="0" w:lastRowLastColumn="0"/>
              <w:rPr>
                <w:rFonts w:ascii="Calibri" w:eastAsia="SimSun" w:hAnsi="Calibri" w:cs="Arial"/>
                <w:b/>
                <w:sz w:val="20"/>
                <w:szCs w:val="20"/>
                <w:lang w:val="en-US"/>
              </w:rPr>
            </w:pPr>
            <w:r w:rsidRPr="00715D77">
              <w:rPr>
                <w:rFonts w:ascii="Calibri" w:eastAsia="SimSun" w:hAnsi="Calibri" w:cs="Arial"/>
                <w:b/>
                <w:sz w:val="20"/>
                <w:szCs w:val="20"/>
                <w:lang w:val="en-US"/>
              </w:rPr>
              <w:t>Probability</w:t>
            </w:r>
          </w:p>
        </w:tc>
        <w:tc>
          <w:tcPr>
            <w:cnfStyle w:val="000010000000" w:firstRow="0" w:lastRow="0" w:firstColumn="0" w:lastColumn="0" w:oddVBand="1" w:evenVBand="0" w:oddHBand="0" w:evenHBand="0" w:firstRowFirstColumn="0" w:firstRowLastColumn="0" w:lastRowFirstColumn="0" w:lastRowLastColumn="0"/>
            <w:tcW w:w="2250" w:type="dxa"/>
          </w:tcPr>
          <w:p w14:paraId="11C4AEEE" w14:textId="77777777" w:rsidR="00743EC9" w:rsidRPr="00715D77" w:rsidRDefault="00743EC9" w:rsidP="00743EC9">
            <w:pPr>
              <w:spacing w:after="60"/>
              <w:jc w:val="both"/>
              <w:rPr>
                <w:rFonts w:ascii="Calibri" w:eastAsia="SimSun" w:hAnsi="Calibri" w:cs="Arial"/>
                <w:b/>
                <w:sz w:val="20"/>
                <w:szCs w:val="20"/>
                <w:lang w:val="en-US"/>
              </w:rPr>
            </w:pPr>
            <w:r w:rsidRPr="00715D77">
              <w:rPr>
                <w:rFonts w:ascii="Calibri" w:eastAsia="SimSun" w:hAnsi="Calibri" w:cs="Arial"/>
                <w:b/>
                <w:sz w:val="20"/>
                <w:szCs w:val="20"/>
                <w:lang w:val="en-US"/>
              </w:rPr>
              <w:t>Mitigation Measures</w:t>
            </w:r>
          </w:p>
        </w:tc>
        <w:tc>
          <w:tcPr>
            <w:tcW w:w="1260" w:type="dxa"/>
          </w:tcPr>
          <w:p w14:paraId="4177A698" w14:textId="77777777" w:rsidR="00743EC9" w:rsidRPr="00715D77" w:rsidRDefault="00743EC9" w:rsidP="00743EC9">
            <w:pPr>
              <w:spacing w:after="60"/>
              <w:jc w:val="both"/>
              <w:cnfStyle w:val="000000100000" w:firstRow="0" w:lastRow="0" w:firstColumn="0" w:lastColumn="0" w:oddVBand="0" w:evenVBand="0" w:oddHBand="1" w:evenHBand="0" w:firstRowFirstColumn="0" w:firstRowLastColumn="0" w:lastRowFirstColumn="0" w:lastRowLastColumn="0"/>
              <w:rPr>
                <w:rFonts w:ascii="Calibri" w:eastAsia="SimSun" w:hAnsi="Calibri" w:cs="Arial"/>
                <w:b/>
                <w:sz w:val="20"/>
                <w:szCs w:val="20"/>
                <w:lang w:val="en-US"/>
              </w:rPr>
            </w:pPr>
            <w:r w:rsidRPr="00715D77">
              <w:rPr>
                <w:rFonts w:ascii="Calibri" w:eastAsia="SimSun" w:hAnsi="Calibri" w:cs="Arial"/>
                <w:b/>
                <w:sz w:val="20"/>
                <w:szCs w:val="20"/>
                <w:lang w:val="en-US"/>
              </w:rPr>
              <w:t>Owner</w:t>
            </w:r>
          </w:p>
        </w:tc>
        <w:tc>
          <w:tcPr>
            <w:cnfStyle w:val="000100000000" w:firstRow="0" w:lastRow="0" w:firstColumn="0" w:lastColumn="1" w:oddVBand="0" w:evenVBand="0" w:oddHBand="0" w:evenHBand="0" w:firstRowFirstColumn="0" w:firstRowLastColumn="0" w:lastRowFirstColumn="0" w:lastRowLastColumn="0"/>
            <w:tcW w:w="1170" w:type="dxa"/>
          </w:tcPr>
          <w:p w14:paraId="263EEFA9" w14:textId="77777777" w:rsidR="00743EC9" w:rsidRPr="00715D77" w:rsidRDefault="00743EC9" w:rsidP="00743EC9">
            <w:pPr>
              <w:spacing w:after="60"/>
              <w:jc w:val="both"/>
              <w:rPr>
                <w:rFonts w:ascii="Calibri" w:eastAsia="SimSun" w:hAnsi="Calibri" w:cs="Arial"/>
                <w:sz w:val="20"/>
                <w:szCs w:val="20"/>
                <w:lang w:val="en-US"/>
              </w:rPr>
            </w:pPr>
            <w:r w:rsidRPr="00715D77">
              <w:rPr>
                <w:rFonts w:ascii="Calibri" w:eastAsia="SimSun" w:hAnsi="Calibri" w:cs="Arial"/>
                <w:sz w:val="20"/>
                <w:szCs w:val="20"/>
                <w:lang w:val="en-US"/>
              </w:rPr>
              <w:t>Status</w:t>
            </w:r>
          </w:p>
        </w:tc>
      </w:tr>
      <w:tr w:rsidR="00743EC9" w:rsidRPr="00743EC9" w14:paraId="4571F33E" w14:textId="77777777" w:rsidTr="00AA0BFC">
        <w:tc>
          <w:tcPr>
            <w:cnfStyle w:val="001000000000" w:firstRow="0" w:lastRow="0" w:firstColumn="1" w:lastColumn="0" w:oddVBand="0" w:evenVBand="0" w:oddHBand="0" w:evenHBand="0" w:firstRowFirstColumn="0" w:firstRowLastColumn="0" w:lastRowFirstColumn="0" w:lastRowLastColumn="0"/>
            <w:tcW w:w="1620" w:type="dxa"/>
          </w:tcPr>
          <w:p w14:paraId="6D20A1C6" w14:textId="77777777" w:rsidR="00743EC9" w:rsidRPr="00715D77" w:rsidRDefault="00743EC9" w:rsidP="00743EC9">
            <w:pPr>
              <w:spacing w:after="60"/>
              <w:rPr>
                <w:rFonts w:ascii="Calibri" w:eastAsia="SimSun" w:hAnsi="Calibri" w:cs="Arial"/>
                <w:sz w:val="20"/>
                <w:szCs w:val="20"/>
                <w:lang w:val="en-US"/>
              </w:rPr>
            </w:pPr>
            <w:r w:rsidRPr="00715D77">
              <w:rPr>
                <w:rFonts w:ascii="Calibri" w:eastAsia="SimSun" w:hAnsi="Calibri" w:cs="Times New Roman"/>
                <w:bCs w:val="0"/>
                <w:sz w:val="20"/>
                <w:szCs w:val="20"/>
                <w:lang w:val="en-US"/>
              </w:rPr>
              <w:t>Administrative</w:t>
            </w:r>
          </w:p>
        </w:tc>
        <w:tc>
          <w:tcPr>
            <w:cnfStyle w:val="000010000000" w:firstRow="0" w:lastRow="0" w:firstColumn="0" w:lastColumn="0" w:oddVBand="1" w:evenVBand="0" w:oddHBand="0" w:evenHBand="0" w:firstRowFirstColumn="0" w:firstRowLastColumn="0" w:lastRowFirstColumn="0" w:lastRowLastColumn="0"/>
            <w:tcW w:w="1530" w:type="dxa"/>
          </w:tcPr>
          <w:p w14:paraId="17EB2085" w14:textId="77777777" w:rsidR="00743EC9" w:rsidRPr="00715D77" w:rsidRDefault="00743EC9" w:rsidP="00743EC9">
            <w:pPr>
              <w:spacing w:after="60"/>
              <w:rPr>
                <w:rFonts w:ascii="Calibri" w:eastAsia="SimSun" w:hAnsi="Calibri" w:cs="Arial"/>
                <w:sz w:val="20"/>
                <w:szCs w:val="20"/>
                <w:lang w:val="en-US"/>
              </w:rPr>
            </w:pPr>
            <w:r w:rsidRPr="00715D77">
              <w:rPr>
                <w:rFonts w:ascii="Calibri" w:eastAsia="SimSun" w:hAnsi="Calibri" w:cs="Times New Roman"/>
                <w:bCs/>
                <w:sz w:val="20"/>
                <w:szCs w:val="20"/>
                <w:lang w:val="en-US"/>
              </w:rPr>
              <w:t>Administrative</w:t>
            </w:r>
          </w:p>
        </w:tc>
        <w:tc>
          <w:tcPr>
            <w:tcW w:w="2250" w:type="dxa"/>
          </w:tcPr>
          <w:p w14:paraId="324B3DE6" w14:textId="77777777" w:rsidR="00743EC9" w:rsidRPr="00715D77" w:rsidRDefault="00743EC9" w:rsidP="00743EC9">
            <w:pPr>
              <w:spacing w:after="60"/>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20"/>
                <w:szCs w:val="20"/>
                <w:lang w:val="en-US"/>
              </w:rPr>
            </w:pPr>
            <w:r w:rsidRPr="00715D77">
              <w:rPr>
                <w:rFonts w:ascii="Calibri" w:eastAsia="SimSun" w:hAnsi="Calibri" w:cs="Times New Roman"/>
                <w:sz w:val="20"/>
                <w:szCs w:val="20"/>
                <w:lang w:val="en-US"/>
              </w:rPr>
              <w:t>Slow hiring processes (consultants, consultancy services, etc.) due to Government processes.</w:t>
            </w:r>
          </w:p>
        </w:tc>
        <w:tc>
          <w:tcPr>
            <w:cnfStyle w:val="000010000000" w:firstRow="0" w:lastRow="0" w:firstColumn="0" w:lastColumn="0" w:oddVBand="1" w:evenVBand="0" w:oddHBand="0" w:evenHBand="0" w:firstRowFirstColumn="0" w:firstRowLastColumn="0" w:lastRowFirstColumn="0" w:lastRowLastColumn="0"/>
            <w:tcW w:w="2250" w:type="dxa"/>
          </w:tcPr>
          <w:p w14:paraId="0B926125" w14:textId="0C258032" w:rsidR="00743EC9" w:rsidRPr="00715D77" w:rsidRDefault="00743EC9" w:rsidP="00AA0BFC">
            <w:pPr>
              <w:spacing w:after="60"/>
              <w:rPr>
                <w:rFonts w:ascii="Calibri" w:eastAsia="SimSun" w:hAnsi="Calibri" w:cs="Arial"/>
                <w:sz w:val="20"/>
                <w:szCs w:val="20"/>
                <w:lang w:val="en-US"/>
              </w:rPr>
            </w:pPr>
            <w:r w:rsidRPr="00715D77">
              <w:rPr>
                <w:rFonts w:ascii="Calibri" w:eastAsia="SimSun" w:hAnsi="Calibri" w:cs="Times New Roman"/>
                <w:sz w:val="20"/>
                <w:szCs w:val="20"/>
                <w:lang w:val="en-US"/>
              </w:rPr>
              <w:t xml:space="preserve">UNDP CO support will improve outreach to potential consultants and consultancy firms, </w:t>
            </w:r>
            <w:r w:rsidR="00AA0BFC">
              <w:rPr>
                <w:rFonts w:ascii="Calibri" w:eastAsia="SimSun" w:hAnsi="Calibri" w:cs="Times New Roman"/>
                <w:sz w:val="20"/>
                <w:szCs w:val="20"/>
                <w:lang w:val="en-US"/>
              </w:rPr>
              <w:t xml:space="preserve">to </w:t>
            </w:r>
            <w:r w:rsidRPr="00715D77">
              <w:rPr>
                <w:rFonts w:ascii="Calibri" w:eastAsia="SimSun" w:hAnsi="Calibri" w:cs="Times New Roman"/>
                <w:sz w:val="20"/>
                <w:szCs w:val="20"/>
                <w:lang w:val="en-US"/>
              </w:rPr>
              <w:t>speed up recruitment and procurement processes</w:t>
            </w:r>
            <w:r w:rsidR="00AA0BFC" w:rsidRPr="00EE3E21">
              <w:rPr>
                <w:lang w:val="en-US"/>
              </w:rPr>
              <w:t xml:space="preserve"> </w:t>
            </w:r>
            <w:r w:rsidR="00AA0BFC" w:rsidRPr="00AA0BFC">
              <w:rPr>
                <w:rFonts w:ascii="Calibri" w:eastAsia="SimSun" w:hAnsi="Calibri" w:cs="Times New Roman"/>
                <w:sz w:val="20"/>
                <w:szCs w:val="20"/>
                <w:lang w:val="en-US"/>
              </w:rPr>
              <w:t xml:space="preserve">as well as advise on additional partnerships with </w:t>
            </w:r>
            <w:r w:rsidR="00AA0BFC">
              <w:rPr>
                <w:rFonts w:ascii="Calibri" w:eastAsia="SimSun" w:hAnsi="Calibri" w:cs="Times New Roman"/>
                <w:sz w:val="20"/>
                <w:szCs w:val="20"/>
                <w:lang w:val="en-US"/>
              </w:rPr>
              <w:t xml:space="preserve">potential responsible partners such as </w:t>
            </w:r>
            <w:r w:rsidR="00AA0BFC" w:rsidRPr="00AA0BFC">
              <w:rPr>
                <w:rFonts w:ascii="Calibri" w:eastAsia="SimSun" w:hAnsi="Calibri" w:cs="Times New Roman"/>
                <w:sz w:val="20"/>
                <w:szCs w:val="20"/>
                <w:lang w:val="en-US"/>
              </w:rPr>
              <w:t>universities</w:t>
            </w:r>
            <w:r w:rsidR="00AA0BFC">
              <w:rPr>
                <w:rFonts w:ascii="Calibri" w:eastAsia="SimSun" w:hAnsi="Calibri" w:cs="Times New Roman"/>
                <w:sz w:val="20"/>
                <w:szCs w:val="20"/>
                <w:lang w:val="en-US"/>
              </w:rPr>
              <w:t xml:space="preserve">, civil society </w:t>
            </w:r>
            <w:r w:rsidR="00E05C03">
              <w:rPr>
                <w:rFonts w:ascii="Calibri" w:eastAsia="SimSun" w:hAnsi="Calibri" w:cs="Times New Roman"/>
                <w:sz w:val="20"/>
                <w:szCs w:val="20"/>
                <w:lang w:val="en-US"/>
              </w:rPr>
              <w:t>organizations.</w:t>
            </w:r>
          </w:p>
        </w:tc>
        <w:tc>
          <w:tcPr>
            <w:tcW w:w="1260" w:type="dxa"/>
          </w:tcPr>
          <w:p w14:paraId="09A591F3" w14:textId="77777777" w:rsidR="00743EC9" w:rsidRPr="00715D77" w:rsidRDefault="00743EC9" w:rsidP="00743EC9">
            <w:pPr>
              <w:spacing w:after="60"/>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20"/>
                <w:szCs w:val="20"/>
                <w:lang w:val="en-US"/>
              </w:rPr>
            </w:pPr>
            <w:r w:rsidRPr="00715D77">
              <w:rPr>
                <w:rFonts w:ascii="Calibri" w:eastAsia="SimSun" w:hAnsi="Calibri" w:cs="Arial"/>
                <w:sz w:val="20"/>
                <w:szCs w:val="20"/>
                <w:lang w:val="en-US"/>
              </w:rPr>
              <w:t>UNDP CO</w:t>
            </w:r>
          </w:p>
        </w:tc>
        <w:tc>
          <w:tcPr>
            <w:cnfStyle w:val="000100000000" w:firstRow="0" w:lastRow="0" w:firstColumn="0" w:lastColumn="1" w:oddVBand="0" w:evenVBand="0" w:oddHBand="0" w:evenHBand="0" w:firstRowFirstColumn="0" w:firstRowLastColumn="0" w:lastRowFirstColumn="0" w:lastRowLastColumn="0"/>
            <w:tcW w:w="1170" w:type="dxa"/>
          </w:tcPr>
          <w:p w14:paraId="2FDCD206" w14:textId="77777777" w:rsidR="00743EC9" w:rsidRPr="00715D77" w:rsidRDefault="00743EC9" w:rsidP="00743EC9">
            <w:pPr>
              <w:spacing w:after="60"/>
              <w:rPr>
                <w:rFonts w:ascii="Calibri" w:eastAsia="SimSun" w:hAnsi="Calibri" w:cs="Arial"/>
                <w:b w:val="0"/>
                <w:sz w:val="20"/>
                <w:szCs w:val="20"/>
                <w:lang w:val="en-US"/>
              </w:rPr>
            </w:pPr>
            <w:r w:rsidRPr="00715D77">
              <w:rPr>
                <w:rFonts w:ascii="Calibri" w:eastAsia="SimSun" w:hAnsi="Calibri" w:cs="Arial"/>
                <w:b w:val="0"/>
                <w:sz w:val="20"/>
                <w:szCs w:val="20"/>
                <w:lang w:val="en-US"/>
              </w:rPr>
              <w:t>No change</w:t>
            </w:r>
          </w:p>
        </w:tc>
      </w:tr>
      <w:tr w:rsidR="00743EC9" w:rsidRPr="00743EC9" w14:paraId="6A453231" w14:textId="77777777" w:rsidTr="00AA0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F8D5ACE" w14:textId="77777777" w:rsidR="00743EC9" w:rsidRPr="00715D77" w:rsidRDefault="00743EC9" w:rsidP="00743EC9">
            <w:pPr>
              <w:spacing w:after="60"/>
              <w:rPr>
                <w:rFonts w:ascii="Calibri" w:eastAsia="SimSun" w:hAnsi="Calibri" w:cs="Times New Roman"/>
                <w:bCs w:val="0"/>
                <w:sz w:val="20"/>
                <w:szCs w:val="20"/>
                <w:lang w:val="en-US"/>
              </w:rPr>
            </w:pPr>
            <w:r w:rsidRPr="00715D77">
              <w:rPr>
                <w:rFonts w:ascii="Calibri" w:eastAsia="SimSun" w:hAnsi="Calibri" w:cs="Times New Roman"/>
                <w:bCs w:val="0"/>
                <w:sz w:val="20"/>
                <w:szCs w:val="20"/>
                <w:lang w:val="en-US"/>
              </w:rPr>
              <w:t>Coordination</w:t>
            </w:r>
          </w:p>
        </w:tc>
        <w:tc>
          <w:tcPr>
            <w:cnfStyle w:val="000010000000" w:firstRow="0" w:lastRow="0" w:firstColumn="0" w:lastColumn="0" w:oddVBand="1" w:evenVBand="0" w:oddHBand="0" w:evenHBand="0" w:firstRowFirstColumn="0" w:firstRowLastColumn="0" w:lastRowFirstColumn="0" w:lastRowLastColumn="0"/>
            <w:tcW w:w="1530" w:type="dxa"/>
          </w:tcPr>
          <w:p w14:paraId="2CE15D0A" w14:textId="77777777" w:rsidR="00743EC9" w:rsidRPr="00715D77" w:rsidRDefault="00743EC9" w:rsidP="00743EC9">
            <w:pPr>
              <w:spacing w:after="60"/>
              <w:rPr>
                <w:rFonts w:ascii="Calibri" w:eastAsia="SimSun" w:hAnsi="Calibri" w:cs="Times New Roman"/>
                <w:bCs/>
                <w:sz w:val="20"/>
                <w:szCs w:val="20"/>
                <w:lang w:val="en-US"/>
              </w:rPr>
            </w:pPr>
            <w:r w:rsidRPr="00715D77">
              <w:rPr>
                <w:rFonts w:ascii="Calibri" w:eastAsia="SimSun" w:hAnsi="Calibri" w:cs="Times New Roman"/>
                <w:bCs/>
                <w:sz w:val="20"/>
                <w:szCs w:val="20"/>
                <w:lang w:val="en-US"/>
              </w:rPr>
              <w:t>Coordination</w:t>
            </w:r>
          </w:p>
        </w:tc>
        <w:tc>
          <w:tcPr>
            <w:tcW w:w="2250" w:type="dxa"/>
          </w:tcPr>
          <w:p w14:paraId="5CBB180E" w14:textId="77777777" w:rsidR="00743EC9" w:rsidRPr="00715D77" w:rsidRDefault="00743EC9" w:rsidP="00743EC9">
            <w:pPr>
              <w:spacing w:after="60"/>
              <w:cnfStyle w:val="000000100000" w:firstRow="0" w:lastRow="0" w:firstColumn="0" w:lastColumn="0" w:oddVBand="0" w:evenVBand="0" w:oddHBand="1" w:evenHBand="0" w:firstRowFirstColumn="0" w:firstRowLastColumn="0" w:lastRowFirstColumn="0" w:lastRowLastColumn="0"/>
              <w:rPr>
                <w:rFonts w:ascii="Calibri" w:eastAsia="SimSun" w:hAnsi="Calibri" w:cs="Times New Roman"/>
                <w:sz w:val="20"/>
                <w:szCs w:val="20"/>
                <w:lang w:val="en-US"/>
              </w:rPr>
            </w:pPr>
            <w:r w:rsidRPr="00715D77">
              <w:rPr>
                <w:rFonts w:ascii="Calibri" w:eastAsia="SimSun" w:hAnsi="Calibri" w:cs="Times New Roman"/>
                <w:sz w:val="20"/>
                <w:szCs w:val="20"/>
                <w:lang w:val="en-US"/>
              </w:rPr>
              <w:t>Poor coordination between key government Agencies and Ministries, as well as other stakeholders.</w:t>
            </w:r>
          </w:p>
        </w:tc>
        <w:tc>
          <w:tcPr>
            <w:cnfStyle w:val="000010000000" w:firstRow="0" w:lastRow="0" w:firstColumn="0" w:lastColumn="0" w:oddVBand="1" w:evenVBand="0" w:oddHBand="0" w:evenHBand="0" w:firstRowFirstColumn="0" w:firstRowLastColumn="0" w:lastRowFirstColumn="0" w:lastRowLastColumn="0"/>
            <w:tcW w:w="2250" w:type="dxa"/>
          </w:tcPr>
          <w:p w14:paraId="1096BF9C" w14:textId="5B12DDD1" w:rsidR="00743EC9" w:rsidRPr="00715D77" w:rsidRDefault="00743EC9" w:rsidP="00743EC9">
            <w:pPr>
              <w:spacing w:after="60"/>
              <w:rPr>
                <w:rFonts w:ascii="Calibri" w:eastAsia="SimSun" w:hAnsi="Calibri" w:cs="Times New Roman"/>
                <w:sz w:val="20"/>
                <w:szCs w:val="20"/>
                <w:lang w:val="en-US"/>
              </w:rPr>
            </w:pPr>
            <w:r w:rsidRPr="00715D77">
              <w:rPr>
                <w:rFonts w:ascii="Calibri" w:eastAsia="SimSun" w:hAnsi="Calibri" w:cs="Times New Roman"/>
                <w:sz w:val="20"/>
                <w:szCs w:val="20"/>
                <w:lang w:val="en-US"/>
              </w:rPr>
              <w:t xml:space="preserve">The project will establish a </w:t>
            </w:r>
            <w:r w:rsidR="00E05C03">
              <w:rPr>
                <w:rFonts w:ascii="Calibri" w:eastAsia="SimSun" w:hAnsi="Calibri" w:cs="Times New Roman"/>
                <w:sz w:val="20"/>
                <w:szCs w:val="20"/>
                <w:lang w:val="en-US"/>
              </w:rPr>
              <w:t xml:space="preserve">multi-stakeholder </w:t>
            </w:r>
            <w:r w:rsidRPr="00715D77">
              <w:rPr>
                <w:rFonts w:ascii="Calibri" w:eastAsia="SimSun" w:hAnsi="Calibri" w:cs="Times New Roman"/>
                <w:sz w:val="20"/>
                <w:szCs w:val="20"/>
                <w:lang w:val="en-US"/>
              </w:rPr>
              <w:t>consultation group/ process in order to account for the institutions and assure proper coordination.</w:t>
            </w:r>
          </w:p>
        </w:tc>
        <w:tc>
          <w:tcPr>
            <w:tcW w:w="1260" w:type="dxa"/>
          </w:tcPr>
          <w:p w14:paraId="02417414" w14:textId="77777777" w:rsidR="00743EC9" w:rsidRPr="00715D77" w:rsidRDefault="00743EC9" w:rsidP="00743EC9">
            <w:pPr>
              <w:spacing w:after="60"/>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20"/>
                <w:szCs w:val="20"/>
                <w:lang w:val="en-US"/>
              </w:rPr>
            </w:pPr>
            <w:r w:rsidRPr="00715D77">
              <w:rPr>
                <w:rFonts w:ascii="Calibri" w:eastAsia="SimSun" w:hAnsi="Calibri" w:cs="Arial"/>
                <w:sz w:val="20"/>
                <w:szCs w:val="20"/>
                <w:lang w:val="en-US"/>
              </w:rPr>
              <w:t>NIMOS</w:t>
            </w:r>
          </w:p>
        </w:tc>
        <w:tc>
          <w:tcPr>
            <w:cnfStyle w:val="000100000000" w:firstRow="0" w:lastRow="0" w:firstColumn="0" w:lastColumn="1" w:oddVBand="0" w:evenVBand="0" w:oddHBand="0" w:evenHBand="0" w:firstRowFirstColumn="0" w:firstRowLastColumn="0" w:lastRowFirstColumn="0" w:lastRowLastColumn="0"/>
            <w:tcW w:w="1170" w:type="dxa"/>
          </w:tcPr>
          <w:p w14:paraId="240EE3C8" w14:textId="77777777" w:rsidR="00743EC9" w:rsidRPr="00715D77" w:rsidRDefault="00743EC9" w:rsidP="00743EC9">
            <w:pPr>
              <w:spacing w:after="60"/>
              <w:rPr>
                <w:rFonts w:ascii="Calibri" w:eastAsia="SimSun" w:hAnsi="Calibri" w:cs="Arial"/>
                <w:b w:val="0"/>
                <w:sz w:val="20"/>
                <w:szCs w:val="20"/>
                <w:lang w:val="en-US"/>
              </w:rPr>
            </w:pPr>
            <w:r w:rsidRPr="00715D77">
              <w:rPr>
                <w:rFonts w:ascii="Calibri" w:eastAsia="SimSun" w:hAnsi="Calibri" w:cs="Arial"/>
                <w:b w:val="0"/>
                <w:sz w:val="20"/>
                <w:szCs w:val="20"/>
                <w:lang w:val="en-US"/>
              </w:rPr>
              <w:t>No change</w:t>
            </w:r>
          </w:p>
        </w:tc>
      </w:tr>
      <w:tr w:rsidR="00743EC9" w:rsidRPr="00743EC9" w14:paraId="7A45B087" w14:textId="77777777" w:rsidTr="00AA0BFC">
        <w:tc>
          <w:tcPr>
            <w:cnfStyle w:val="001000000000" w:firstRow="0" w:lastRow="0" w:firstColumn="1" w:lastColumn="0" w:oddVBand="0" w:evenVBand="0" w:oddHBand="0" w:evenHBand="0" w:firstRowFirstColumn="0" w:firstRowLastColumn="0" w:lastRowFirstColumn="0" w:lastRowLastColumn="0"/>
            <w:tcW w:w="1620" w:type="dxa"/>
          </w:tcPr>
          <w:p w14:paraId="7BA37E07" w14:textId="77777777" w:rsidR="00743EC9" w:rsidRPr="00715D77" w:rsidRDefault="00743EC9" w:rsidP="00743EC9">
            <w:pPr>
              <w:spacing w:after="60"/>
              <w:rPr>
                <w:rFonts w:ascii="Calibri" w:eastAsia="SimSun" w:hAnsi="Calibri" w:cs="Times New Roman"/>
                <w:bCs w:val="0"/>
                <w:sz w:val="20"/>
                <w:szCs w:val="20"/>
                <w:lang w:val="en-US"/>
              </w:rPr>
            </w:pPr>
            <w:r w:rsidRPr="00715D77">
              <w:rPr>
                <w:rFonts w:ascii="Calibri" w:eastAsia="SimSun" w:hAnsi="Calibri" w:cs="Times New Roman"/>
                <w:bCs w:val="0"/>
                <w:sz w:val="20"/>
                <w:szCs w:val="20"/>
                <w:lang w:val="en-US"/>
              </w:rPr>
              <w:t>Technical</w:t>
            </w:r>
          </w:p>
        </w:tc>
        <w:tc>
          <w:tcPr>
            <w:cnfStyle w:val="000010000000" w:firstRow="0" w:lastRow="0" w:firstColumn="0" w:lastColumn="0" w:oddVBand="1" w:evenVBand="0" w:oddHBand="0" w:evenHBand="0" w:firstRowFirstColumn="0" w:firstRowLastColumn="0" w:lastRowFirstColumn="0" w:lastRowLastColumn="0"/>
            <w:tcW w:w="1530" w:type="dxa"/>
          </w:tcPr>
          <w:p w14:paraId="4A26D8E4" w14:textId="77777777" w:rsidR="00743EC9" w:rsidRPr="00715D77" w:rsidRDefault="00743EC9" w:rsidP="00743EC9">
            <w:pPr>
              <w:spacing w:after="60"/>
              <w:rPr>
                <w:rFonts w:ascii="Calibri" w:eastAsia="SimSun" w:hAnsi="Calibri" w:cs="Times New Roman"/>
                <w:bCs/>
                <w:sz w:val="20"/>
                <w:szCs w:val="20"/>
                <w:lang w:val="en-US"/>
              </w:rPr>
            </w:pPr>
            <w:r w:rsidRPr="00715D77">
              <w:rPr>
                <w:rFonts w:ascii="Calibri" w:eastAsia="SimSun" w:hAnsi="Calibri" w:cs="Times New Roman"/>
                <w:bCs/>
                <w:sz w:val="20"/>
                <w:szCs w:val="20"/>
                <w:lang w:val="en-US"/>
              </w:rPr>
              <w:t>Technical</w:t>
            </w:r>
          </w:p>
        </w:tc>
        <w:tc>
          <w:tcPr>
            <w:tcW w:w="2250" w:type="dxa"/>
          </w:tcPr>
          <w:p w14:paraId="4F5B7087" w14:textId="77777777" w:rsidR="00743EC9" w:rsidRPr="00715D77" w:rsidRDefault="00743EC9" w:rsidP="00743EC9">
            <w:pPr>
              <w:spacing w:after="60"/>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sz w:val="20"/>
                <w:szCs w:val="20"/>
                <w:lang w:val="en-US"/>
              </w:rPr>
            </w:pPr>
            <w:r w:rsidRPr="00715D77">
              <w:rPr>
                <w:rFonts w:ascii="Calibri" w:eastAsia="SimSun" w:hAnsi="Calibri" w:cs="Times New Roman"/>
                <w:sz w:val="20"/>
                <w:szCs w:val="20"/>
                <w:lang w:val="en-US"/>
              </w:rPr>
              <w:t>Insufficient awareness, technical knowledge, data availability, etc. available to undertake the MIA</w:t>
            </w:r>
          </w:p>
        </w:tc>
        <w:tc>
          <w:tcPr>
            <w:cnfStyle w:val="000010000000" w:firstRow="0" w:lastRow="0" w:firstColumn="0" w:lastColumn="0" w:oddVBand="1" w:evenVBand="0" w:oddHBand="0" w:evenHBand="0" w:firstRowFirstColumn="0" w:firstRowLastColumn="0" w:lastRowFirstColumn="0" w:lastRowLastColumn="0"/>
            <w:tcW w:w="2250" w:type="dxa"/>
          </w:tcPr>
          <w:p w14:paraId="01F8D2BF" w14:textId="77777777" w:rsidR="00743EC9" w:rsidRPr="00715D77" w:rsidRDefault="00743EC9" w:rsidP="00743EC9">
            <w:pPr>
              <w:spacing w:after="60"/>
              <w:rPr>
                <w:rFonts w:ascii="Calibri" w:eastAsia="SimSun" w:hAnsi="Calibri" w:cs="Times New Roman"/>
                <w:sz w:val="20"/>
                <w:szCs w:val="20"/>
                <w:lang w:val="en-US"/>
              </w:rPr>
            </w:pPr>
            <w:r w:rsidRPr="00715D77">
              <w:rPr>
                <w:rFonts w:ascii="Calibri" w:eastAsia="SimSun" w:hAnsi="Calibri" w:cs="Times New Roman"/>
                <w:sz w:val="20"/>
                <w:szCs w:val="20"/>
                <w:lang w:val="en-US"/>
              </w:rPr>
              <w:t>Project will start with the training of consultants and stakeholders on the methodology to be used to carry out the MIA. Secondly the project will carry out a number of awareness raising activities and ensure consultations among key stakeholders to facilitate obtaining data.</w:t>
            </w:r>
          </w:p>
        </w:tc>
        <w:tc>
          <w:tcPr>
            <w:tcW w:w="1260" w:type="dxa"/>
          </w:tcPr>
          <w:p w14:paraId="41B9ABD9" w14:textId="77777777" w:rsidR="00743EC9" w:rsidRPr="00715D77" w:rsidRDefault="00743EC9" w:rsidP="00743EC9">
            <w:pPr>
              <w:spacing w:after="60"/>
              <w:cnfStyle w:val="000000000000" w:firstRow="0" w:lastRow="0" w:firstColumn="0" w:lastColumn="0" w:oddVBand="0" w:evenVBand="0" w:oddHBand="0" w:evenHBand="0" w:firstRowFirstColumn="0" w:firstRowLastColumn="0" w:lastRowFirstColumn="0" w:lastRowLastColumn="0"/>
              <w:rPr>
                <w:rFonts w:ascii="Calibri" w:eastAsia="SimSun" w:hAnsi="Calibri" w:cs="Arial"/>
                <w:sz w:val="20"/>
                <w:szCs w:val="20"/>
                <w:lang w:val="en-US"/>
              </w:rPr>
            </w:pPr>
            <w:r w:rsidRPr="00715D77">
              <w:rPr>
                <w:rFonts w:ascii="Calibri" w:eastAsia="SimSun" w:hAnsi="Calibri" w:cs="Arial"/>
                <w:sz w:val="20"/>
                <w:szCs w:val="20"/>
                <w:lang w:val="en-US"/>
              </w:rPr>
              <w:t>Project Team</w:t>
            </w:r>
          </w:p>
        </w:tc>
        <w:tc>
          <w:tcPr>
            <w:cnfStyle w:val="000100000000" w:firstRow="0" w:lastRow="0" w:firstColumn="0" w:lastColumn="1" w:oddVBand="0" w:evenVBand="0" w:oddHBand="0" w:evenHBand="0" w:firstRowFirstColumn="0" w:firstRowLastColumn="0" w:lastRowFirstColumn="0" w:lastRowLastColumn="0"/>
            <w:tcW w:w="1170" w:type="dxa"/>
          </w:tcPr>
          <w:p w14:paraId="0B028219" w14:textId="77777777" w:rsidR="00743EC9" w:rsidRPr="00715D77" w:rsidRDefault="00743EC9" w:rsidP="00743EC9">
            <w:pPr>
              <w:spacing w:after="60"/>
              <w:rPr>
                <w:rFonts w:ascii="Calibri" w:eastAsia="SimSun" w:hAnsi="Calibri" w:cs="Arial"/>
                <w:b w:val="0"/>
                <w:sz w:val="20"/>
                <w:szCs w:val="20"/>
                <w:lang w:val="en-US"/>
              </w:rPr>
            </w:pPr>
            <w:r w:rsidRPr="00715D77">
              <w:rPr>
                <w:rFonts w:ascii="Calibri" w:eastAsia="SimSun" w:hAnsi="Calibri" w:cs="Arial"/>
                <w:b w:val="0"/>
                <w:sz w:val="20"/>
                <w:szCs w:val="20"/>
                <w:lang w:val="en-US"/>
              </w:rPr>
              <w:t>Reducing</w:t>
            </w:r>
          </w:p>
        </w:tc>
      </w:tr>
      <w:tr w:rsidR="00743EC9" w:rsidRPr="00743EC9" w14:paraId="630C85F7" w14:textId="77777777" w:rsidTr="00AA0B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E9214C4" w14:textId="77777777" w:rsidR="00743EC9" w:rsidRPr="00715D77" w:rsidRDefault="00743EC9" w:rsidP="00743EC9">
            <w:pPr>
              <w:spacing w:after="60"/>
              <w:rPr>
                <w:rFonts w:ascii="Calibri" w:eastAsia="SimSun" w:hAnsi="Calibri" w:cs="Times New Roman"/>
                <w:bCs w:val="0"/>
                <w:sz w:val="20"/>
                <w:szCs w:val="20"/>
                <w:lang w:val="en-US"/>
              </w:rPr>
            </w:pPr>
            <w:r w:rsidRPr="00715D77">
              <w:rPr>
                <w:rFonts w:ascii="Calibri" w:eastAsia="SimSun" w:hAnsi="Calibri" w:cs="Arial"/>
                <w:sz w:val="20"/>
                <w:szCs w:val="20"/>
                <w:lang w:val="en-US"/>
              </w:rPr>
              <w:lastRenderedPageBreak/>
              <w:t>Project Team</w:t>
            </w:r>
          </w:p>
        </w:tc>
        <w:tc>
          <w:tcPr>
            <w:cnfStyle w:val="000010000000" w:firstRow="0" w:lastRow="0" w:firstColumn="0" w:lastColumn="0" w:oddVBand="1" w:evenVBand="0" w:oddHBand="0" w:evenHBand="0" w:firstRowFirstColumn="0" w:firstRowLastColumn="0" w:lastRowFirstColumn="0" w:lastRowLastColumn="0"/>
            <w:tcW w:w="1530" w:type="dxa"/>
          </w:tcPr>
          <w:p w14:paraId="2533886F" w14:textId="77777777" w:rsidR="00743EC9" w:rsidRPr="00715D77" w:rsidRDefault="00743EC9" w:rsidP="00743EC9">
            <w:pPr>
              <w:spacing w:after="60"/>
              <w:rPr>
                <w:rFonts w:ascii="Calibri" w:eastAsia="SimSun" w:hAnsi="Calibri" w:cs="Times New Roman"/>
                <w:b w:val="0"/>
                <w:bCs w:val="0"/>
                <w:sz w:val="20"/>
                <w:szCs w:val="20"/>
                <w:lang w:val="en-US"/>
              </w:rPr>
            </w:pPr>
            <w:r w:rsidRPr="00715D77">
              <w:rPr>
                <w:rFonts w:ascii="Calibri" w:eastAsia="SimSun" w:hAnsi="Calibri" w:cs="Arial"/>
                <w:b w:val="0"/>
                <w:sz w:val="20"/>
                <w:szCs w:val="20"/>
                <w:lang w:val="en-US"/>
              </w:rPr>
              <w:t>Project Team</w:t>
            </w:r>
          </w:p>
        </w:tc>
        <w:tc>
          <w:tcPr>
            <w:tcW w:w="2250" w:type="dxa"/>
          </w:tcPr>
          <w:p w14:paraId="4505CD03" w14:textId="77777777" w:rsidR="00743EC9" w:rsidRPr="00715D77" w:rsidRDefault="00743EC9" w:rsidP="00743EC9">
            <w:pPr>
              <w:spacing w:after="60"/>
              <w:cnfStyle w:val="010000000000" w:firstRow="0" w:lastRow="1" w:firstColumn="0" w:lastColumn="0" w:oddVBand="0" w:evenVBand="0" w:oddHBand="0" w:evenHBand="0" w:firstRowFirstColumn="0" w:firstRowLastColumn="0" w:lastRowFirstColumn="0" w:lastRowLastColumn="0"/>
              <w:rPr>
                <w:rFonts w:ascii="Calibri" w:eastAsia="SimSun" w:hAnsi="Calibri" w:cs="Times New Roman"/>
                <w:b w:val="0"/>
                <w:sz w:val="20"/>
                <w:szCs w:val="20"/>
                <w:lang w:val="en-US"/>
              </w:rPr>
            </w:pPr>
            <w:r w:rsidRPr="00715D77">
              <w:rPr>
                <w:rFonts w:ascii="Calibri" w:eastAsia="SimSun" w:hAnsi="Calibri" w:cs="Times New Roman"/>
                <w:b w:val="0"/>
                <w:sz w:val="20"/>
                <w:szCs w:val="20"/>
                <w:lang w:val="en-US"/>
              </w:rPr>
              <w:t>Difficulties in recruitment of a Project Manager with the necessary qualifications for the amount allocated in the Budget</w:t>
            </w:r>
          </w:p>
        </w:tc>
        <w:tc>
          <w:tcPr>
            <w:cnfStyle w:val="000010000000" w:firstRow="0" w:lastRow="0" w:firstColumn="0" w:lastColumn="0" w:oddVBand="1" w:evenVBand="0" w:oddHBand="0" w:evenHBand="0" w:firstRowFirstColumn="0" w:firstRowLastColumn="0" w:lastRowFirstColumn="0" w:lastRowLastColumn="0"/>
            <w:tcW w:w="2250" w:type="dxa"/>
          </w:tcPr>
          <w:p w14:paraId="0A96B8E5" w14:textId="53A31278" w:rsidR="00743EC9" w:rsidRPr="00715D77" w:rsidRDefault="00743EC9" w:rsidP="00E05C03">
            <w:pPr>
              <w:spacing w:after="60"/>
              <w:rPr>
                <w:rFonts w:ascii="Calibri" w:eastAsia="SimSun" w:hAnsi="Calibri" w:cs="Times New Roman"/>
                <w:b w:val="0"/>
                <w:sz w:val="20"/>
                <w:szCs w:val="20"/>
                <w:lang w:val="en-US"/>
              </w:rPr>
            </w:pPr>
            <w:r w:rsidRPr="00715D77">
              <w:rPr>
                <w:rFonts w:ascii="Calibri" w:eastAsia="SimSun" w:hAnsi="Calibri" w:cs="Times New Roman"/>
                <w:b w:val="0"/>
                <w:sz w:val="20"/>
                <w:szCs w:val="20"/>
                <w:lang w:val="en-US"/>
              </w:rPr>
              <w:t xml:space="preserve">A Project Manager may be shared between two or more chemicals related projects so that his/her time can be shared among projects.  </w:t>
            </w:r>
          </w:p>
        </w:tc>
        <w:tc>
          <w:tcPr>
            <w:tcW w:w="1260" w:type="dxa"/>
          </w:tcPr>
          <w:p w14:paraId="533FE3A2" w14:textId="77777777" w:rsidR="00743EC9" w:rsidRPr="00715D77" w:rsidRDefault="00743EC9" w:rsidP="00743EC9">
            <w:pPr>
              <w:spacing w:after="60"/>
              <w:cnfStyle w:val="010000000000" w:firstRow="0" w:lastRow="1" w:firstColumn="0" w:lastColumn="0" w:oddVBand="0" w:evenVBand="0" w:oddHBand="0" w:evenHBand="0" w:firstRowFirstColumn="0" w:firstRowLastColumn="0" w:lastRowFirstColumn="0" w:lastRowLastColumn="0"/>
              <w:rPr>
                <w:rFonts w:ascii="Calibri" w:eastAsia="SimSun" w:hAnsi="Calibri" w:cs="Arial"/>
                <w:b w:val="0"/>
                <w:sz w:val="20"/>
                <w:szCs w:val="20"/>
                <w:lang w:val="en-US"/>
              </w:rPr>
            </w:pPr>
            <w:r w:rsidRPr="00715D77">
              <w:rPr>
                <w:rFonts w:ascii="Calibri" w:eastAsia="SimSun" w:hAnsi="Calibri" w:cs="Arial"/>
                <w:b w:val="0"/>
                <w:sz w:val="20"/>
                <w:szCs w:val="20"/>
                <w:lang w:val="en-US"/>
              </w:rPr>
              <w:t>UNDP CO</w:t>
            </w:r>
          </w:p>
        </w:tc>
        <w:tc>
          <w:tcPr>
            <w:cnfStyle w:val="000100000000" w:firstRow="0" w:lastRow="0" w:firstColumn="0" w:lastColumn="1" w:oddVBand="0" w:evenVBand="0" w:oddHBand="0" w:evenHBand="0" w:firstRowFirstColumn="0" w:firstRowLastColumn="0" w:lastRowFirstColumn="0" w:lastRowLastColumn="0"/>
            <w:tcW w:w="1170" w:type="dxa"/>
          </w:tcPr>
          <w:p w14:paraId="550CB1C4" w14:textId="77777777" w:rsidR="00743EC9" w:rsidRPr="00715D77" w:rsidRDefault="00743EC9" w:rsidP="00743EC9">
            <w:pPr>
              <w:spacing w:after="60"/>
              <w:rPr>
                <w:rFonts w:ascii="Calibri" w:eastAsia="SimSun" w:hAnsi="Calibri" w:cs="Arial"/>
                <w:b w:val="0"/>
                <w:sz w:val="20"/>
                <w:szCs w:val="20"/>
                <w:lang w:val="en-US"/>
              </w:rPr>
            </w:pPr>
            <w:r w:rsidRPr="00715D77">
              <w:rPr>
                <w:rFonts w:ascii="Calibri" w:eastAsia="SimSun" w:hAnsi="Calibri" w:cs="Arial"/>
                <w:b w:val="0"/>
                <w:sz w:val="20"/>
                <w:szCs w:val="20"/>
                <w:lang w:val="en-US"/>
              </w:rPr>
              <w:t>No Change</w:t>
            </w:r>
          </w:p>
        </w:tc>
      </w:tr>
    </w:tbl>
    <w:p w14:paraId="727C45CB" w14:textId="77777777" w:rsidR="00743EC9" w:rsidRDefault="00743EC9" w:rsidP="00743EC9">
      <w:pPr>
        <w:rPr>
          <w:lang w:val="en-US"/>
        </w:rPr>
      </w:pPr>
    </w:p>
    <w:p w14:paraId="7434297E" w14:textId="05B14A3A" w:rsidR="001C4C6E" w:rsidRPr="001C4C6E" w:rsidRDefault="001C4C6E" w:rsidP="00743EC9">
      <w:pPr>
        <w:rPr>
          <w:i/>
          <w:sz w:val="20"/>
          <w:lang w:val="en-US"/>
        </w:rPr>
      </w:pPr>
      <w:r w:rsidRPr="001C4C6E">
        <w:rPr>
          <w:i/>
          <w:sz w:val="20"/>
          <w:lang w:val="en-US"/>
        </w:rPr>
        <w:t>Table 2: Risk management</w:t>
      </w:r>
    </w:p>
    <w:p w14:paraId="4FBB534F" w14:textId="7F62FECE" w:rsidR="00743EC9" w:rsidRDefault="00743EC9">
      <w:pPr>
        <w:rPr>
          <w:lang w:val="en-US"/>
        </w:rPr>
      </w:pPr>
      <w:r w:rsidRPr="00743EC9">
        <w:rPr>
          <w:lang w:val="en-US"/>
        </w:rPr>
        <w:t xml:space="preserve">Social and environmental safeguards:  This project </w:t>
      </w:r>
      <w:r w:rsidR="00E05C03">
        <w:rPr>
          <w:lang w:val="en-US"/>
        </w:rPr>
        <w:t>focused on</w:t>
      </w:r>
      <w:r w:rsidRPr="00743EC9">
        <w:rPr>
          <w:lang w:val="en-US"/>
        </w:rPr>
        <w:t xml:space="preserve"> assessment</w:t>
      </w:r>
      <w:r w:rsidR="00E05C03">
        <w:rPr>
          <w:lang w:val="en-US"/>
        </w:rPr>
        <w:t xml:space="preserve"> and planning for ASGM with the required field work to collect data and</w:t>
      </w:r>
      <w:r w:rsidRPr="00743EC9">
        <w:rPr>
          <w:lang w:val="en-US"/>
        </w:rPr>
        <w:t xml:space="preserve"> where </w:t>
      </w:r>
      <w:r w:rsidR="00E05C03">
        <w:rPr>
          <w:lang w:val="en-US"/>
        </w:rPr>
        <w:t>substantial part</w:t>
      </w:r>
      <w:r w:rsidR="00E05C03" w:rsidRPr="00743EC9">
        <w:rPr>
          <w:lang w:val="en-US"/>
        </w:rPr>
        <w:t xml:space="preserve"> </w:t>
      </w:r>
      <w:r w:rsidRPr="00743EC9">
        <w:rPr>
          <w:lang w:val="en-US"/>
        </w:rPr>
        <w:t xml:space="preserve">of its activities involves </w:t>
      </w:r>
      <w:r w:rsidR="00E05C03">
        <w:rPr>
          <w:lang w:val="en-US"/>
        </w:rPr>
        <w:t xml:space="preserve">awareness, </w:t>
      </w:r>
      <w:r w:rsidRPr="00743EC9">
        <w:rPr>
          <w:lang w:val="en-US"/>
        </w:rPr>
        <w:t>desk research, surveys and consultation, so social and environmental risks are not associated with its implementation.</w:t>
      </w:r>
      <w:r>
        <w:rPr>
          <w:lang w:val="en-US"/>
        </w:rPr>
        <w:br w:type="page"/>
      </w:r>
    </w:p>
    <w:p w14:paraId="6077DE48" w14:textId="77777777" w:rsidR="007B1223" w:rsidRDefault="007B1223" w:rsidP="00AA15F8">
      <w:pPr>
        <w:pStyle w:val="Heading1"/>
        <w:numPr>
          <w:ilvl w:val="0"/>
          <w:numId w:val="26"/>
        </w:numPr>
        <w:rPr>
          <w:lang w:val="en-US"/>
        </w:rPr>
        <w:sectPr w:rsidR="007B1223" w:rsidSect="00743EC9">
          <w:footerReference w:type="default" r:id="rId11"/>
          <w:pgSz w:w="11906" w:h="16838"/>
          <w:pgMar w:top="1417" w:right="1417" w:bottom="1417" w:left="1417" w:header="708" w:footer="708" w:gutter="0"/>
          <w:cols w:space="708"/>
          <w:docGrid w:linePitch="360"/>
        </w:sectPr>
      </w:pPr>
    </w:p>
    <w:p w14:paraId="71974F2A" w14:textId="7BA9B851" w:rsidR="00743EC9" w:rsidRPr="006451BA" w:rsidRDefault="00743EC9" w:rsidP="00AA15F8">
      <w:pPr>
        <w:pStyle w:val="Heading1"/>
        <w:numPr>
          <w:ilvl w:val="0"/>
          <w:numId w:val="26"/>
        </w:numPr>
      </w:pPr>
      <w:bookmarkStart w:id="16" w:name="_Toc487589373"/>
      <w:r w:rsidRPr="006451BA">
        <w:lastRenderedPageBreak/>
        <w:t>PROJECT RESULTS FRAMEWORK</w:t>
      </w:r>
      <w:bookmarkEnd w:id="16"/>
    </w:p>
    <w:p w14:paraId="54C4E462" w14:textId="77777777" w:rsidR="007B1223" w:rsidRDefault="007B1223" w:rsidP="003222D4">
      <w:pPr>
        <w:rPr>
          <w:lang w:val="en-US"/>
        </w:rPr>
      </w:pPr>
    </w:p>
    <w:p w14:paraId="207A739F" w14:textId="77777777" w:rsidR="007B1223" w:rsidRDefault="007B1223" w:rsidP="003222D4">
      <w:pPr>
        <w:rPr>
          <w:lang w:val="en-US"/>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595"/>
        <w:gridCol w:w="1665"/>
        <w:gridCol w:w="1913"/>
        <w:gridCol w:w="1795"/>
        <w:gridCol w:w="2817"/>
      </w:tblGrid>
      <w:tr w:rsidR="007B1223" w:rsidRPr="00364C06" w14:paraId="1A9DC73C" w14:textId="77777777" w:rsidTr="00181EC4">
        <w:trPr>
          <w:trHeight w:val="544"/>
        </w:trPr>
        <w:tc>
          <w:tcPr>
            <w:tcW w:w="14390" w:type="dxa"/>
            <w:gridSpan w:val="6"/>
            <w:shd w:val="pct12" w:color="auto" w:fill="auto"/>
          </w:tcPr>
          <w:p w14:paraId="14B26372" w14:textId="38554246" w:rsidR="007B1223" w:rsidRPr="007B1223" w:rsidRDefault="00834915" w:rsidP="007B1223">
            <w:pPr>
              <w:spacing w:after="0" w:line="271" w:lineRule="auto"/>
              <w:jc w:val="both"/>
              <w:rPr>
                <w:rFonts w:ascii="Times New Roman" w:eastAsia="SimSun" w:hAnsi="Times New Roman" w:cs="Times New Roman"/>
                <w:b/>
                <w:bCs/>
                <w:sz w:val="18"/>
                <w:szCs w:val="18"/>
                <w:lang w:val="en-US"/>
              </w:rPr>
            </w:pPr>
            <w:r w:rsidRPr="00834915">
              <w:rPr>
                <w:rFonts w:ascii="Times New Roman" w:eastAsia="SimSun" w:hAnsi="Times New Roman" w:cs="Times New Roman"/>
                <w:b/>
                <w:bCs/>
                <w:sz w:val="18"/>
                <w:szCs w:val="18"/>
                <w:lang w:val="en-US"/>
              </w:rPr>
              <w:t>UNMSDF OUTCOME INVOLVING UNDP</w:t>
            </w:r>
            <w:r w:rsidRPr="00834915" w:rsidDel="00834915">
              <w:rPr>
                <w:rFonts w:ascii="Times New Roman" w:eastAsia="SimSun" w:hAnsi="Times New Roman" w:cs="Times New Roman"/>
                <w:b/>
                <w:bCs/>
                <w:sz w:val="18"/>
                <w:szCs w:val="18"/>
                <w:lang w:val="en-US"/>
              </w:rPr>
              <w:t xml:space="preserve"> </w:t>
            </w:r>
            <w:r w:rsidR="007B1223" w:rsidRPr="007B1223">
              <w:rPr>
                <w:rFonts w:ascii="Times New Roman" w:eastAsia="SimSun" w:hAnsi="Times New Roman" w:cs="Times New Roman"/>
                <w:b/>
                <w:bCs/>
                <w:sz w:val="18"/>
                <w:szCs w:val="18"/>
                <w:lang w:val="en-US"/>
              </w:rPr>
              <w:t>/Country Programme Results and Resources Framework</w:t>
            </w:r>
            <w:r w:rsidRPr="00364C06">
              <w:rPr>
                <w:lang w:val="en-US"/>
              </w:rPr>
              <w:t xml:space="preserve"> </w:t>
            </w:r>
            <w:r w:rsidRPr="00834915">
              <w:rPr>
                <w:rFonts w:ascii="Times New Roman" w:eastAsia="SimSun" w:hAnsi="Times New Roman" w:cs="Times New Roman"/>
                <w:b/>
                <w:bCs/>
                <w:sz w:val="18"/>
                <w:szCs w:val="18"/>
                <w:lang w:val="en-US"/>
              </w:rPr>
              <w:t>Inclusive and sustainable solutions adopted for the conservation, restoration and use of ecosystems and natural resources. (A Sustainable and Resilient Caribbean)</w:t>
            </w:r>
          </w:p>
        </w:tc>
      </w:tr>
      <w:tr w:rsidR="007B1223" w:rsidRPr="007B1223" w14:paraId="2B652600" w14:textId="77777777" w:rsidTr="00181EC4">
        <w:trPr>
          <w:trHeight w:val="544"/>
        </w:trPr>
        <w:tc>
          <w:tcPr>
            <w:tcW w:w="14390" w:type="dxa"/>
            <w:gridSpan w:val="6"/>
            <w:shd w:val="pct12" w:color="auto" w:fill="auto"/>
          </w:tcPr>
          <w:p w14:paraId="31F112D4" w14:textId="77777777" w:rsidR="007B1223" w:rsidRPr="00EA420E" w:rsidRDefault="007B1223" w:rsidP="007B1223">
            <w:pPr>
              <w:autoSpaceDE w:val="0"/>
              <w:autoSpaceDN w:val="0"/>
              <w:adjustRightInd w:val="0"/>
              <w:spacing w:after="0" w:line="240" w:lineRule="auto"/>
              <w:rPr>
                <w:rFonts w:ascii="Calibri" w:eastAsia="SimSun" w:hAnsi="Calibri" w:cs="Calibri"/>
                <w:sz w:val="16"/>
                <w:szCs w:val="16"/>
                <w:lang w:val="en-US"/>
              </w:rPr>
            </w:pPr>
            <w:r w:rsidRPr="00EA420E">
              <w:rPr>
                <w:rFonts w:ascii="Times New Roman" w:eastAsia="SimSun" w:hAnsi="Times New Roman" w:cs="Times New Roman"/>
                <w:b/>
                <w:bCs/>
                <w:sz w:val="18"/>
                <w:szCs w:val="18"/>
                <w:lang w:val="en-US"/>
              </w:rPr>
              <w:t>Outcome indicators as stated in the Country Programme Results and Resources Framework, including baseline and targets:</w:t>
            </w:r>
            <w:r w:rsidRPr="00EA420E">
              <w:rPr>
                <w:rFonts w:ascii="Calibri" w:eastAsia="SimSun" w:hAnsi="Calibri" w:cs="Calibri"/>
                <w:sz w:val="16"/>
                <w:szCs w:val="16"/>
                <w:lang w:val="en-US"/>
              </w:rPr>
              <w:t xml:space="preserve"> </w:t>
            </w:r>
          </w:p>
          <w:p w14:paraId="086C142E" w14:textId="77777777" w:rsidR="007B1223" w:rsidRPr="00EA420E" w:rsidRDefault="007B1223" w:rsidP="007B1223">
            <w:pPr>
              <w:autoSpaceDE w:val="0"/>
              <w:autoSpaceDN w:val="0"/>
              <w:adjustRightInd w:val="0"/>
              <w:spacing w:after="0" w:line="240" w:lineRule="auto"/>
              <w:rPr>
                <w:rFonts w:ascii="Calibri" w:eastAsia="SimSun" w:hAnsi="Calibri" w:cs="Calibri"/>
                <w:sz w:val="16"/>
                <w:szCs w:val="16"/>
                <w:lang w:val="en-US"/>
              </w:rPr>
            </w:pPr>
            <w:r w:rsidRPr="00EA420E">
              <w:rPr>
                <w:rFonts w:ascii="Calibri" w:eastAsia="SimSun" w:hAnsi="Calibri" w:cs="Calibri"/>
                <w:sz w:val="16"/>
                <w:szCs w:val="16"/>
                <w:lang w:val="en-US"/>
              </w:rPr>
              <w:t>Implementation status of Action Plan of Sound Management Chemicals (SMC)</w:t>
            </w:r>
          </w:p>
          <w:p w14:paraId="54106142" w14:textId="77777777" w:rsidR="007B1223" w:rsidRPr="00EA420E" w:rsidRDefault="007B1223" w:rsidP="007B1223">
            <w:pPr>
              <w:autoSpaceDE w:val="0"/>
              <w:autoSpaceDN w:val="0"/>
              <w:adjustRightInd w:val="0"/>
              <w:spacing w:after="0" w:line="240" w:lineRule="auto"/>
              <w:rPr>
                <w:rFonts w:ascii="Calibri" w:eastAsia="SimSun" w:hAnsi="Calibri" w:cs="Calibri"/>
                <w:sz w:val="16"/>
                <w:szCs w:val="16"/>
                <w:lang w:val="en-US"/>
              </w:rPr>
            </w:pPr>
            <w:r w:rsidRPr="00EA420E">
              <w:rPr>
                <w:rFonts w:ascii="Calibri" w:eastAsia="SimSun" w:hAnsi="Calibri" w:cs="Calibri"/>
                <w:sz w:val="16"/>
                <w:szCs w:val="16"/>
                <w:lang w:val="en-US"/>
              </w:rPr>
              <w:t>BL: No action plan on SMC T: National Situation Report (NSR) on Sound Management Chemicals (SMC) finalized and Priority actions agreed</w:t>
            </w:r>
          </w:p>
          <w:p w14:paraId="2D914960" w14:textId="77777777" w:rsidR="00834915" w:rsidRPr="00EA420E" w:rsidRDefault="00834915" w:rsidP="007B1223">
            <w:pPr>
              <w:autoSpaceDE w:val="0"/>
              <w:autoSpaceDN w:val="0"/>
              <w:adjustRightInd w:val="0"/>
              <w:spacing w:after="0" w:line="240" w:lineRule="auto"/>
              <w:rPr>
                <w:rFonts w:ascii="Times New Roman" w:eastAsia="SimSun" w:hAnsi="Times New Roman" w:cs="Times New Roman"/>
                <w:b/>
                <w:bCs/>
                <w:sz w:val="18"/>
                <w:szCs w:val="18"/>
                <w:lang w:val="en-US"/>
              </w:rPr>
            </w:pPr>
            <w:r w:rsidRPr="00EA420E">
              <w:rPr>
                <w:rFonts w:ascii="Times New Roman" w:eastAsia="SimSun" w:hAnsi="Times New Roman" w:cs="Times New Roman"/>
                <w:b/>
                <w:bCs/>
                <w:sz w:val="18"/>
                <w:szCs w:val="18"/>
                <w:lang w:val="en-US"/>
              </w:rPr>
              <w:t>Extent to which competent national and subnational authorities are implementing integrated natural resources management guidelines.</w:t>
            </w:r>
          </w:p>
          <w:p w14:paraId="354ECEED" w14:textId="71400F97" w:rsidR="00834915" w:rsidRPr="007B1223" w:rsidRDefault="00834915" w:rsidP="007B1223">
            <w:pPr>
              <w:autoSpaceDE w:val="0"/>
              <w:autoSpaceDN w:val="0"/>
              <w:adjustRightInd w:val="0"/>
              <w:spacing w:after="0" w:line="240" w:lineRule="auto"/>
              <w:rPr>
                <w:rFonts w:ascii="Times New Roman" w:eastAsia="SimSun" w:hAnsi="Times New Roman" w:cs="Times New Roman"/>
                <w:b/>
                <w:bCs/>
                <w:sz w:val="18"/>
                <w:szCs w:val="18"/>
                <w:lang w:val="en-US"/>
              </w:rPr>
            </w:pPr>
            <w:r w:rsidRPr="00EA420E">
              <w:rPr>
                <w:rFonts w:ascii="Times New Roman" w:eastAsia="SimSun" w:hAnsi="Times New Roman" w:cs="Times New Roman"/>
                <w:b/>
                <w:bCs/>
                <w:sz w:val="18"/>
                <w:szCs w:val="18"/>
                <w:lang w:val="en-US"/>
              </w:rPr>
              <w:t xml:space="preserve">BL: 1 T: </w:t>
            </w:r>
            <w:r w:rsidR="0001750B" w:rsidRPr="00EA420E">
              <w:rPr>
                <w:rFonts w:ascii="Times New Roman" w:eastAsia="SimSun" w:hAnsi="Times New Roman" w:cs="Times New Roman"/>
                <w:b/>
                <w:bCs/>
                <w:sz w:val="18"/>
                <w:szCs w:val="18"/>
                <w:lang w:val="en-US"/>
              </w:rPr>
              <w:t>3</w:t>
            </w:r>
          </w:p>
        </w:tc>
      </w:tr>
      <w:tr w:rsidR="007B1223" w:rsidRPr="00EE3E21" w14:paraId="6AFCCB26" w14:textId="77777777" w:rsidTr="00181EC4">
        <w:trPr>
          <w:trHeight w:val="544"/>
        </w:trPr>
        <w:tc>
          <w:tcPr>
            <w:tcW w:w="14390" w:type="dxa"/>
            <w:gridSpan w:val="6"/>
            <w:shd w:val="pct12" w:color="auto" w:fill="auto"/>
          </w:tcPr>
          <w:p w14:paraId="626FA7EA" w14:textId="77777777" w:rsidR="007B1223" w:rsidRPr="007B1223" w:rsidRDefault="007B1223" w:rsidP="007B1223">
            <w:pPr>
              <w:spacing w:after="0" w:line="240" w:lineRule="auto"/>
              <w:rPr>
                <w:rFonts w:ascii="Calibri" w:eastAsia="SimSun" w:hAnsi="Calibri" w:cs="Arial"/>
                <w:b/>
                <w:sz w:val="20"/>
                <w:szCs w:val="20"/>
                <w:lang w:val="en-US"/>
              </w:rPr>
            </w:pPr>
            <w:r w:rsidRPr="007B1223">
              <w:rPr>
                <w:rFonts w:ascii="Times New Roman" w:eastAsia="SimSun" w:hAnsi="Times New Roman" w:cs="Times New Roman"/>
                <w:b/>
                <w:bCs/>
                <w:sz w:val="18"/>
                <w:szCs w:val="18"/>
                <w:lang w:val="en-US"/>
              </w:rPr>
              <w:t>Applicable Outputs from the 2014 – 2017 UNDP Strategic Plan:</w:t>
            </w:r>
            <w:r w:rsidRPr="007B1223">
              <w:rPr>
                <w:rFonts w:ascii="Calibri" w:eastAsia="SimSun" w:hAnsi="Calibri" w:cs="Arial"/>
                <w:i/>
                <w:sz w:val="20"/>
                <w:szCs w:val="20"/>
                <w:lang w:val="en-US"/>
              </w:rPr>
              <w:t xml:space="preserve"> </w:t>
            </w:r>
          </w:p>
          <w:p w14:paraId="708994A5" w14:textId="77777777" w:rsidR="007B1223" w:rsidRPr="007B1223" w:rsidRDefault="007B1223" w:rsidP="007B1223">
            <w:pPr>
              <w:spacing w:after="0" w:line="240" w:lineRule="auto"/>
              <w:rPr>
                <w:rFonts w:ascii="Calibri" w:eastAsia="SimSun" w:hAnsi="Calibri" w:cs="Arial"/>
                <w:sz w:val="20"/>
                <w:szCs w:val="20"/>
                <w:lang w:val="en-US"/>
              </w:rPr>
            </w:pPr>
            <w:r w:rsidRPr="007B1223">
              <w:rPr>
                <w:rFonts w:ascii="Calibri" w:eastAsia="SimSun" w:hAnsi="Calibri" w:cs="Arial"/>
                <w:sz w:val="20"/>
                <w:szCs w:val="20"/>
                <w:lang w:val="en-US"/>
              </w:rPr>
              <w:t>Output 1.3:  Solutions developed at national and sub-national levels for sustainable management of natural resources, ecosystem services, chemicals and waste.</w:t>
            </w:r>
          </w:p>
          <w:p w14:paraId="69187992" w14:textId="77777777" w:rsidR="007B1223" w:rsidRPr="007B1223" w:rsidRDefault="007B1223" w:rsidP="007B1223">
            <w:pPr>
              <w:spacing w:after="0" w:line="240" w:lineRule="auto"/>
              <w:rPr>
                <w:rFonts w:ascii="Calibri" w:eastAsia="SimSun" w:hAnsi="Calibri" w:cs="Arial"/>
                <w:i/>
                <w:sz w:val="20"/>
                <w:szCs w:val="20"/>
                <w:lang w:val="en-US"/>
              </w:rPr>
            </w:pPr>
          </w:p>
        </w:tc>
      </w:tr>
      <w:tr w:rsidR="007B1223" w:rsidRPr="00EE3E21" w14:paraId="71455A5A" w14:textId="77777777" w:rsidTr="00181EC4">
        <w:trPr>
          <w:trHeight w:val="544"/>
        </w:trPr>
        <w:tc>
          <w:tcPr>
            <w:tcW w:w="14390" w:type="dxa"/>
            <w:gridSpan w:val="6"/>
            <w:shd w:val="pct12" w:color="auto" w:fill="auto"/>
          </w:tcPr>
          <w:p w14:paraId="7F0A6D55" w14:textId="77777777" w:rsidR="007B1223" w:rsidRPr="007B1223" w:rsidRDefault="007B1223" w:rsidP="007B1223">
            <w:pPr>
              <w:spacing w:after="0" w:line="240" w:lineRule="auto"/>
              <w:rPr>
                <w:rFonts w:ascii="Calibri" w:eastAsia="SimSun" w:hAnsi="Calibri" w:cs="Times New Roman"/>
                <w:b/>
                <w:bCs/>
                <w:sz w:val="20"/>
                <w:szCs w:val="20"/>
                <w:lang w:val="en-US"/>
              </w:rPr>
            </w:pPr>
            <w:r w:rsidRPr="007B1223">
              <w:rPr>
                <w:rFonts w:ascii="Calibri" w:eastAsia="SimSun" w:hAnsi="Calibri" w:cs="Times New Roman"/>
                <w:b/>
                <w:bCs/>
                <w:sz w:val="20"/>
                <w:szCs w:val="20"/>
                <w:lang w:val="en-US"/>
              </w:rPr>
              <w:t xml:space="preserve">Applicable Output Indicators from the UNDP Strategic Plan Integrated Results and Resources Framework: </w:t>
            </w:r>
          </w:p>
          <w:p w14:paraId="4E1151E2" w14:textId="77777777" w:rsidR="007B1223" w:rsidRPr="007B1223" w:rsidRDefault="007B1223" w:rsidP="007B1223">
            <w:pPr>
              <w:spacing w:after="0" w:line="240" w:lineRule="auto"/>
              <w:rPr>
                <w:rFonts w:ascii="Calibri" w:eastAsia="SimSun" w:hAnsi="Calibri" w:cs="Times New Roman"/>
                <w:bCs/>
                <w:sz w:val="20"/>
                <w:szCs w:val="20"/>
                <w:lang w:val="en-US"/>
              </w:rPr>
            </w:pPr>
            <w:r w:rsidRPr="007B1223">
              <w:rPr>
                <w:rFonts w:ascii="Calibri" w:eastAsia="SimSun" w:hAnsi="Calibri" w:cs="Times New Roman"/>
                <w:bCs/>
                <w:sz w:val="20"/>
                <w:szCs w:val="20"/>
                <w:lang w:val="en-US"/>
              </w:rPr>
              <w:t>Output 1.3 indicator 1.3.1:  Number of new partnership mechanisms with funding for sustainable management solutions of natural resources, ecosystem services, chemicals and waste at national and/or subnational level.</w:t>
            </w:r>
          </w:p>
          <w:p w14:paraId="097F3C9F" w14:textId="77777777" w:rsidR="007B1223" w:rsidRPr="007B1223" w:rsidRDefault="007B1223" w:rsidP="007B1223">
            <w:pPr>
              <w:spacing w:after="0" w:line="240" w:lineRule="auto"/>
              <w:rPr>
                <w:rFonts w:ascii="Calibri" w:eastAsia="SimSun" w:hAnsi="Calibri" w:cs="Times New Roman"/>
                <w:bCs/>
                <w:sz w:val="20"/>
                <w:szCs w:val="20"/>
                <w:lang w:val="en-US"/>
              </w:rPr>
            </w:pPr>
          </w:p>
        </w:tc>
      </w:tr>
      <w:tr w:rsidR="007B1223" w:rsidRPr="007B1223" w14:paraId="3037EECB" w14:textId="77777777" w:rsidTr="00181EC4">
        <w:trPr>
          <w:trHeight w:val="548"/>
        </w:trPr>
        <w:tc>
          <w:tcPr>
            <w:tcW w:w="2605" w:type="dxa"/>
            <w:shd w:val="pct12" w:color="auto" w:fill="auto"/>
          </w:tcPr>
          <w:p w14:paraId="0CA8308D"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p>
        </w:tc>
        <w:tc>
          <w:tcPr>
            <w:tcW w:w="3595" w:type="dxa"/>
            <w:shd w:val="pct12" w:color="auto" w:fill="auto"/>
          </w:tcPr>
          <w:p w14:paraId="2B5B3C75"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
                <w:bCs/>
                <w:sz w:val="18"/>
                <w:szCs w:val="18"/>
                <w:lang w:val="en-US"/>
              </w:rPr>
              <w:t>Objective and Outcome Indicators</w:t>
            </w:r>
          </w:p>
          <w:p w14:paraId="662B26EC"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p>
        </w:tc>
        <w:tc>
          <w:tcPr>
            <w:tcW w:w="1665" w:type="dxa"/>
            <w:shd w:val="pct12" w:color="auto" w:fill="auto"/>
          </w:tcPr>
          <w:p w14:paraId="20812472" w14:textId="4BB54CD8"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
                <w:bCs/>
                <w:sz w:val="18"/>
                <w:szCs w:val="18"/>
                <w:lang w:val="en-US"/>
              </w:rPr>
              <w:t>Baseline</w:t>
            </w:r>
            <w:r w:rsidR="00433666">
              <w:rPr>
                <w:rStyle w:val="FootnoteReference"/>
                <w:rFonts w:eastAsia="SimSun"/>
                <w:b/>
                <w:bCs/>
                <w:szCs w:val="18"/>
                <w:lang w:val="en-US"/>
              </w:rPr>
              <w:footnoteReference w:id="5"/>
            </w:r>
          </w:p>
          <w:p w14:paraId="155FF4CB"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p>
        </w:tc>
        <w:tc>
          <w:tcPr>
            <w:tcW w:w="1913" w:type="dxa"/>
            <w:shd w:val="pct12" w:color="auto" w:fill="auto"/>
          </w:tcPr>
          <w:p w14:paraId="1D3EDF3F" w14:textId="0D287E00" w:rsidR="007B1223" w:rsidRDefault="007B1223"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
                <w:bCs/>
                <w:sz w:val="18"/>
                <w:szCs w:val="18"/>
                <w:lang w:val="en-US"/>
              </w:rPr>
              <w:t>Mid-term Target</w:t>
            </w:r>
            <w:r w:rsidR="00433666" w:rsidRPr="00433666">
              <w:rPr>
                <w:rFonts w:ascii="Times New Roman" w:eastAsia="SimSun" w:hAnsi="Times New Roman" w:cs="Times New Roman"/>
                <w:b/>
                <w:bCs/>
                <w:sz w:val="18"/>
                <w:szCs w:val="18"/>
                <w:vertAlign w:val="superscript"/>
                <w:lang w:val="en-US"/>
              </w:rPr>
              <w:t>3</w:t>
            </w:r>
          </w:p>
          <w:p w14:paraId="3E4CFF5D" w14:textId="77777777" w:rsidR="00433666" w:rsidRPr="007B1223" w:rsidRDefault="00433666" w:rsidP="007B1223">
            <w:pPr>
              <w:spacing w:after="0" w:line="271" w:lineRule="auto"/>
              <w:jc w:val="center"/>
              <w:rPr>
                <w:rFonts w:ascii="Times New Roman" w:eastAsia="SimSun" w:hAnsi="Times New Roman" w:cs="Times New Roman"/>
                <w:b/>
                <w:bCs/>
                <w:sz w:val="18"/>
                <w:szCs w:val="18"/>
                <w:lang w:val="en-US"/>
              </w:rPr>
            </w:pPr>
          </w:p>
          <w:p w14:paraId="10074304"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p>
        </w:tc>
        <w:tc>
          <w:tcPr>
            <w:tcW w:w="1795" w:type="dxa"/>
            <w:shd w:val="pct12" w:color="auto" w:fill="auto"/>
          </w:tcPr>
          <w:p w14:paraId="01A29CBD" w14:textId="65768DC8"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
                <w:bCs/>
                <w:sz w:val="18"/>
                <w:szCs w:val="18"/>
                <w:lang w:val="en-US"/>
              </w:rPr>
              <w:t>End of Project Target</w:t>
            </w:r>
            <w:r w:rsidR="00433666" w:rsidRPr="00433666">
              <w:rPr>
                <w:rFonts w:ascii="Times New Roman" w:eastAsia="SimSun" w:hAnsi="Times New Roman" w:cs="Times New Roman"/>
                <w:b/>
                <w:bCs/>
                <w:sz w:val="18"/>
                <w:szCs w:val="18"/>
                <w:vertAlign w:val="superscript"/>
                <w:lang w:val="en-US"/>
              </w:rPr>
              <w:t>3</w:t>
            </w:r>
          </w:p>
          <w:p w14:paraId="5663BF8C"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p>
        </w:tc>
        <w:tc>
          <w:tcPr>
            <w:tcW w:w="2817" w:type="dxa"/>
            <w:shd w:val="pct12" w:color="auto" w:fill="auto"/>
          </w:tcPr>
          <w:p w14:paraId="4BB8433D" w14:textId="79D86134"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
                <w:bCs/>
                <w:sz w:val="18"/>
                <w:szCs w:val="18"/>
                <w:lang w:val="en-US"/>
              </w:rPr>
              <w:t>Assumptions</w:t>
            </w:r>
            <w:r w:rsidR="00433666">
              <w:rPr>
                <w:rStyle w:val="FootnoteReference"/>
                <w:rFonts w:eastAsia="SimSun"/>
                <w:b/>
                <w:bCs/>
                <w:szCs w:val="18"/>
                <w:lang w:val="en-US"/>
              </w:rPr>
              <w:footnoteReference w:id="6"/>
            </w:r>
          </w:p>
          <w:p w14:paraId="76F8573E"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p>
        </w:tc>
      </w:tr>
      <w:tr w:rsidR="007B1223" w:rsidRPr="00EE3E21" w14:paraId="3D14D619" w14:textId="77777777" w:rsidTr="00181EC4">
        <w:trPr>
          <w:trHeight w:val="1709"/>
        </w:trPr>
        <w:tc>
          <w:tcPr>
            <w:tcW w:w="2605" w:type="dxa"/>
            <w:shd w:val="pct12" w:color="auto" w:fill="auto"/>
          </w:tcPr>
          <w:p w14:paraId="6CD0B297" w14:textId="3BC829EA" w:rsidR="007B1223" w:rsidRPr="007B1223" w:rsidRDefault="007B1223" w:rsidP="00B932D8">
            <w:pPr>
              <w:spacing w:after="0" w:line="271" w:lineRule="auto"/>
              <w:rPr>
                <w:rFonts w:ascii="Calibri" w:eastAsia="SimSun" w:hAnsi="Calibri" w:cs="Times New Roman"/>
                <w:b/>
                <w:bCs/>
                <w:i/>
                <w:sz w:val="18"/>
                <w:szCs w:val="16"/>
                <w:lang w:val="en-US"/>
              </w:rPr>
            </w:pPr>
            <w:r w:rsidRPr="007B1223">
              <w:rPr>
                <w:rFonts w:ascii="Calibri" w:eastAsia="SimSun" w:hAnsi="Calibri" w:cs="Times New Roman"/>
                <w:b/>
                <w:bCs/>
                <w:sz w:val="18"/>
                <w:szCs w:val="16"/>
                <w:lang w:val="en-US"/>
              </w:rPr>
              <w:t>Project Objective:</w:t>
            </w:r>
            <w:r w:rsidR="00B932D8" w:rsidRPr="00B932D8">
              <w:rPr>
                <w:bCs/>
                <w:iCs/>
                <w:color w:val="000000"/>
                <w:lang w:val="en-US"/>
              </w:rPr>
              <w:t xml:space="preserve"> </w:t>
            </w:r>
            <w:r w:rsidR="00B932D8" w:rsidRPr="00B932D8">
              <w:rPr>
                <w:bCs/>
                <w:iCs/>
                <w:color w:val="000000"/>
                <w:sz w:val="18"/>
                <w:szCs w:val="18"/>
              </w:rPr>
              <w:fldChar w:fldCharType="begin">
                <w:ffData>
                  <w:name w:val="projObj"/>
                  <w:enabled/>
                  <w:calcOnExit w:val="0"/>
                  <w:textInput/>
                </w:ffData>
              </w:fldChar>
            </w:r>
            <w:r w:rsidR="00B932D8" w:rsidRPr="00B932D8">
              <w:rPr>
                <w:bCs/>
                <w:iCs/>
                <w:color w:val="000000"/>
                <w:sz w:val="18"/>
                <w:szCs w:val="18"/>
                <w:lang w:val="en-US"/>
              </w:rPr>
              <w:instrText xml:space="preserve"> FORMTEXT </w:instrText>
            </w:r>
            <w:r w:rsidR="00B932D8" w:rsidRPr="00B932D8">
              <w:rPr>
                <w:bCs/>
                <w:iCs/>
                <w:color w:val="000000"/>
                <w:sz w:val="18"/>
                <w:szCs w:val="18"/>
              </w:rPr>
            </w:r>
            <w:r w:rsidR="00B932D8" w:rsidRPr="00B932D8">
              <w:rPr>
                <w:bCs/>
                <w:iCs/>
                <w:color w:val="000000"/>
                <w:sz w:val="18"/>
                <w:szCs w:val="18"/>
              </w:rPr>
              <w:fldChar w:fldCharType="separate"/>
            </w:r>
            <w:r w:rsidR="00B932D8" w:rsidRPr="00B932D8">
              <w:rPr>
                <w:bCs/>
                <w:iCs/>
                <w:noProof/>
                <w:color w:val="000000"/>
                <w:sz w:val="18"/>
                <w:szCs w:val="18"/>
                <w:lang w:val="en-US"/>
              </w:rPr>
              <w:t>Undertake a National Action Plan to assess challenges and  establish a schedule of implementation to the extent to which legal, policy and regulatory framework will enable Suriname to reduce and/or eliminate the use of Mercury in Artisanal and Small-Scale Gold Mining.</w:t>
            </w:r>
            <w:r w:rsidR="00B932D8" w:rsidRPr="00B932D8">
              <w:rPr>
                <w:bCs/>
                <w:iCs/>
                <w:color w:val="000000"/>
                <w:sz w:val="18"/>
                <w:szCs w:val="18"/>
              </w:rPr>
              <w:fldChar w:fldCharType="end"/>
            </w:r>
            <w:r w:rsidRPr="007B1223">
              <w:rPr>
                <w:rFonts w:ascii="Calibri" w:eastAsia="SimSun" w:hAnsi="Calibri" w:cs="Times New Roman"/>
                <w:b/>
                <w:bCs/>
                <w:sz w:val="18"/>
                <w:szCs w:val="16"/>
                <w:lang w:val="en-US"/>
              </w:rPr>
              <w:t xml:space="preserve"> </w:t>
            </w:r>
          </w:p>
        </w:tc>
        <w:tc>
          <w:tcPr>
            <w:tcW w:w="3595" w:type="dxa"/>
          </w:tcPr>
          <w:p w14:paraId="1D604AB0" w14:textId="0B5B464E" w:rsidR="007B1223" w:rsidRPr="007B1223" w:rsidRDefault="00B932D8" w:rsidP="007B1223">
            <w:pPr>
              <w:spacing w:after="0" w:line="240" w:lineRule="auto"/>
              <w:jc w:val="both"/>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National Action Plan (NAP)</w:t>
            </w:r>
          </w:p>
        </w:tc>
        <w:tc>
          <w:tcPr>
            <w:tcW w:w="1665" w:type="dxa"/>
          </w:tcPr>
          <w:p w14:paraId="121DF0EC" w14:textId="5DC8B5EA" w:rsidR="007B1223" w:rsidRPr="007B1223" w:rsidRDefault="007B1223" w:rsidP="00B932D8">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 xml:space="preserve">No </w:t>
            </w:r>
            <w:r w:rsidR="00B932D8">
              <w:rPr>
                <w:rFonts w:ascii="Times New Roman" w:eastAsia="SimSun" w:hAnsi="Times New Roman" w:cs="Times New Roman"/>
                <w:bCs/>
                <w:i/>
                <w:sz w:val="18"/>
                <w:szCs w:val="18"/>
                <w:lang w:val="en-US"/>
              </w:rPr>
              <w:t xml:space="preserve">National Action Plan </w:t>
            </w:r>
            <w:r w:rsidRPr="007B1223">
              <w:rPr>
                <w:rFonts w:ascii="Times New Roman" w:eastAsia="SimSun" w:hAnsi="Times New Roman" w:cs="Times New Roman"/>
                <w:bCs/>
                <w:i/>
                <w:sz w:val="18"/>
                <w:szCs w:val="18"/>
                <w:lang w:val="en-US"/>
              </w:rPr>
              <w:t>exists</w:t>
            </w:r>
          </w:p>
        </w:tc>
        <w:tc>
          <w:tcPr>
            <w:tcW w:w="1913" w:type="dxa"/>
          </w:tcPr>
          <w:p w14:paraId="21B03CF1" w14:textId="77777777" w:rsidR="007B1223" w:rsidRPr="007B1223" w:rsidRDefault="007B1223" w:rsidP="007B1223">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N/A</w:t>
            </w:r>
          </w:p>
        </w:tc>
        <w:tc>
          <w:tcPr>
            <w:tcW w:w="1795" w:type="dxa"/>
          </w:tcPr>
          <w:p w14:paraId="011EADAA" w14:textId="5A2F9E7F" w:rsidR="007B1223" w:rsidRPr="007B1223" w:rsidRDefault="00B932D8" w:rsidP="007B1223">
            <w:pPr>
              <w:spacing w:after="0" w:line="271" w:lineRule="auto"/>
              <w:jc w:val="center"/>
              <w:rPr>
                <w:rFonts w:ascii="Times New Roman" w:eastAsia="SimSun" w:hAnsi="Times New Roman" w:cs="Times New Roman"/>
                <w:b/>
                <w:bCs/>
                <w:sz w:val="18"/>
                <w:szCs w:val="18"/>
                <w:lang w:val="en-US"/>
              </w:rPr>
            </w:pPr>
            <w:r>
              <w:rPr>
                <w:rFonts w:ascii="Times New Roman" w:eastAsia="SimSun" w:hAnsi="Times New Roman" w:cs="Times New Roman"/>
                <w:bCs/>
                <w:i/>
                <w:sz w:val="18"/>
                <w:szCs w:val="18"/>
                <w:lang w:val="en-US"/>
              </w:rPr>
              <w:t xml:space="preserve">NAP </w:t>
            </w:r>
            <w:r w:rsidR="007B1223" w:rsidRPr="007B1223">
              <w:rPr>
                <w:rFonts w:ascii="Times New Roman" w:eastAsia="SimSun" w:hAnsi="Times New Roman" w:cs="Times New Roman"/>
                <w:bCs/>
                <w:i/>
                <w:sz w:val="18"/>
                <w:szCs w:val="18"/>
                <w:lang w:val="en-US"/>
              </w:rPr>
              <w:t>prepared and transmitted to the Minamata Conv. Secretariat</w:t>
            </w:r>
          </w:p>
        </w:tc>
        <w:tc>
          <w:tcPr>
            <w:tcW w:w="2817" w:type="dxa"/>
          </w:tcPr>
          <w:p w14:paraId="10F90A82" w14:textId="77777777" w:rsidR="007B1223" w:rsidRPr="007B1223" w:rsidRDefault="007B1223" w:rsidP="007B1223">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This is an Enabling Activity</w:t>
            </w:r>
          </w:p>
        </w:tc>
      </w:tr>
      <w:tr w:rsidR="007B1223" w:rsidRPr="00EE3E21" w14:paraId="214A56C4" w14:textId="77777777" w:rsidTr="00181EC4">
        <w:trPr>
          <w:trHeight w:val="1637"/>
        </w:trPr>
        <w:tc>
          <w:tcPr>
            <w:tcW w:w="2605" w:type="dxa"/>
            <w:shd w:val="pct12" w:color="auto" w:fill="auto"/>
          </w:tcPr>
          <w:p w14:paraId="7EF2C87D" w14:textId="77777777" w:rsidR="00B932D8" w:rsidRDefault="007B1223" w:rsidP="00B932D8">
            <w:pPr>
              <w:spacing w:after="0" w:line="240" w:lineRule="auto"/>
              <w:rPr>
                <w:rFonts w:ascii="Calibri" w:eastAsia="Calibri" w:hAnsi="Calibri" w:cs="Times New Roman"/>
                <w:b/>
                <w:sz w:val="18"/>
                <w:szCs w:val="18"/>
                <w:lang w:val="en-US"/>
              </w:rPr>
            </w:pPr>
            <w:r w:rsidRPr="007B1223">
              <w:rPr>
                <w:rFonts w:ascii="Calibri" w:eastAsia="Calibri" w:hAnsi="Calibri" w:cs="Times New Roman"/>
                <w:b/>
                <w:sz w:val="18"/>
                <w:szCs w:val="18"/>
                <w:lang w:val="en-US"/>
              </w:rPr>
              <w:lastRenderedPageBreak/>
              <w:t>Component 1.</w:t>
            </w:r>
            <w:r w:rsidRPr="007B1223">
              <w:rPr>
                <w:rFonts w:ascii="Calibri" w:eastAsia="Calibri" w:hAnsi="Calibri" w:cs="Times New Roman"/>
                <w:b/>
                <w:sz w:val="18"/>
                <w:szCs w:val="18"/>
                <w:lang w:val="en-US"/>
              </w:rPr>
              <w:tab/>
            </w:r>
            <w:r w:rsidR="00B932D8" w:rsidRPr="00B932D8">
              <w:rPr>
                <w:rFonts w:ascii="Calibri" w:eastAsia="Calibri" w:hAnsi="Calibri" w:cs="Times New Roman"/>
                <w:b/>
                <w:sz w:val="18"/>
                <w:szCs w:val="18"/>
                <w:lang w:val="en-US"/>
              </w:rPr>
              <w:t>Develop Mercury Profile in artisanal and small-scale gold mining (ASGM)</w:t>
            </w:r>
          </w:p>
          <w:p w14:paraId="69145270" w14:textId="06533034" w:rsidR="007B1223" w:rsidRPr="00B932D8" w:rsidRDefault="006A745B" w:rsidP="008348D7">
            <w:pPr>
              <w:rPr>
                <w:rFonts w:cstheme="minorHAnsi"/>
                <w:color w:val="000000"/>
                <w:sz w:val="18"/>
                <w:szCs w:val="18"/>
                <w:lang w:val="en-US"/>
              </w:rPr>
            </w:pPr>
            <w:bookmarkStart w:id="17" w:name="ExpectedOutCome_01"/>
            <w:r w:rsidRPr="00B932D8">
              <w:rPr>
                <w:rFonts w:cstheme="minorHAnsi"/>
                <w:color w:val="000000"/>
                <w:sz w:val="18"/>
                <w:szCs w:val="18"/>
                <w:lang w:val="en-US"/>
              </w:rPr>
              <w:t>Out</w:t>
            </w:r>
            <w:r>
              <w:rPr>
                <w:rFonts w:cstheme="minorHAnsi"/>
                <w:color w:val="000000"/>
                <w:sz w:val="18"/>
                <w:szCs w:val="18"/>
                <w:lang w:val="en-US"/>
              </w:rPr>
              <w:t>put</w:t>
            </w:r>
            <w:r w:rsidRPr="00B932D8">
              <w:rPr>
                <w:rFonts w:cstheme="minorHAnsi"/>
                <w:color w:val="000000"/>
                <w:sz w:val="18"/>
                <w:szCs w:val="18"/>
                <w:lang w:val="en-US"/>
              </w:rPr>
              <w:t xml:space="preserve"> </w:t>
            </w:r>
            <w:r w:rsidR="00B932D8" w:rsidRPr="00B932D8">
              <w:rPr>
                <w:rFonts w:cstheme="minorHAnsi"/>
                <w:color w:val="000000"/>
                <w:sz w:val="18"/>
                <w:szCs w:val="18"/>
                <w:lang w:val="en-US"/>
              </w:rPr>
              <w:t xml:space="preserve">1.1. </w:t>
            </w:r>
            <w:r w:rsidR="00004D13">
              <w:rPr>
                <w:rFonts w:cstheme="minorHAnsi"/>
                <w:color w:val="000000"/>
                <w:sz w:val="18"/>
                <w:szCs w:val="18"/>
                <w:lang w:val="en-US"/>
              </w:rPr>
              <w:t xml:space="preserve">National </w:t>
            </w:r>
            <w:r w:rsidR="00B932D8" w:rsidRPr="00B932D8">
              <w:rPr>
                <w:rFonts w:cstheme="minorHAnsi"/>
                <w:color w:val="000000"/>
                <w:sz w:val="18"/>
                <w:szCs w:val="18"/>
                <w:lang w:val="en-US"/>
              </w:rPr>
              <w:t xml:space="preserve">capacity </w:t>
            </w:r>
            <w:r w:rsidR="00004D13">
              <w:rPr>
                <w:rFonts w:cstheme="minorHAnsi"/>
                <w:color w:val="000000"/>
                <w:sz w:val="18"/>
                <w:szCs w:val="18"/>
                <w:lang w:val="en-US"/>
              </w:rPr>
              <w:t xml:space="preserve">built </w:t>
            </w:r>
            <w:r w:rsidR="00B932D8" w:rsidRPr="00B932D8">
              <w:rPr>
                <w:rFonts w:cstheme="minorHAnsi"/>
                <w:color w:val="000000"/>
                <w:sz w:val="18"/>
                <w:szCs w:val="18"/>
                <w:lang w:val="en-US"/>
              </w:rPr>
              <w:t>to undertake Mercury inventory in ASG</w:t>
            </w:r>
            <w:bookmarkEnd w:id="17"/>
            <w:r w:rsidR="00B932D8" w:rsidRPr="00B932D8">
              <w:rPr>
                <w:rFonts w:cstheme="minorHAnsi"/>
                <w:color w:val="000000"/>
                <w:sz w:val="18"/>
                <w:szCs w:val="18"/>
                <w:lang w:val="en-US"/>
              </w:rPr>
              <w:t>M</w:t>
            </w:r>
            <w:r w:rsidR="008348D7">
              <w:rPr>
                <w:rFonts w:cstheme="minorHAnsi"/>
                <w:color w:val="000000"/>
                <w:sz w:val="18"/>
                <w:szCs w:val="18"/>
                <w:lang w:val="en-US"/>
              </w:rPr>
              <w:t>.</w:t>
            </w:r>
          </w:p>
        </w:tc>
        <w:tc>
          <w:tcPr>
            <w:tcW w:w="3595" w:type="dxa"/>
          </w:tcPr>
          <w:p w14:paraId="2AE54211" w14:textId="4A8EA640" w:rsidR="00F82F21" w:rsidRPr="00352803" w:rsidRDefault="00F82F21" w:rsidP="00352803">
            <w:pPr>
              <w:pStyle w:val="ListParagraph"/>
              <w:numPr>
                <w:ilvl w:val="0"/>
                <w:numId w:val="31"/>
              </w:numPr>
              <w:spacing w:after="0" w:line="271" w:lineRule="auto"/>
              <w:rPr>
                <w:rFonts w:ascii="Calibri" w:eastAsia="SimSun" w:hAnsi="Calibri" w:cs="Times New Roman"/>
                <w:i/>
                <w:sz w:val="18"/>
                <w:lang w:val="en-US"/>
              </w:rPr>
            </w:pPr>
            <w:r w:rsidRPr="00352803">
              <w:rPr>
                <w:rFonts w:ascii="Calibri" w:eastAsia="SimSun" w:hAnsi="Calibri" w:cs="Times New Roman"/>
                <w:i/>
                <w:sz w:val="18"/>
                <w:lang w:val="en-US"/>
              </w:rPr>
              <w:t xml:space="preserve">Number of training </w:t>
            </w:r>
            <w:r w:rsidR="00B859DF" w:rsidRPr="00352803">
              <w:rPr>
                <w:rFonts w:ascii="Calibri" w:eastAsia="SimSun" w:hAnsi="Calibri" w:cs="Times New Roman"/>
                <w:i/>
                <w:sz w:val="18"/>
                <w:lang w:val="en-US"/>
              </w:rPr>
              <w:t>conducted.</w:t>
            </w:r>
          </w:p>
          <w:p w14:paraId="7C9AAC6F" w14:textId="11861DAF" w:rsidR="007B1223" w:rsidRPr="00352803" w:rsidRDefault="008348D7" w:rsidP="00352803">
            <w:pPr>
              <w:pStyle w:val="ListParagraph"/>
              <w:numPr>
                <w:ilvl w:val="0"/>
                <w:numId w:val="31"/>
              </w:numPr>
              <w:spacing w:after="0" w:line="271" w:lineRule="auto"/>
              <w:rPr>
                <w:rFonts w:ascii="Calibri" w:eastAsia="SimSun" w:hAnsi="Calibri" w:cs="Times New Roman"/>
                <w:i/>
                <w:sz w:val="18"/>
                <w:lang w:val="en-US"/>
              </w:rPr>
            </w:pPr>
            <w:r w:rsidRPr="00352803">
              <w:rPr>
                <w:rFonts w:ascii="Calibri" w:eastAsia="SimSun" w:hAnsi="Calibri" w:cs="Times New Roman"/>
                <w:i/>
                <w:sz w:val="18"/>
                <w:lang w:val="en-US"/>
              </w:rPr>
              <w:t xml:space="preserve">Number of people able to </w:t>
            </w:r>
            <w:r w:rsidR="00F82F21" w:rsidRPr="00352803">
              <w:rPr>
                <w:rFonts w:ascii="Calibri" w:eastAsia="SimSun" w:hAnsi="Calibri" w:cs="Times New Roman"/>
                <w:i/>
                <w:sz w:val="18"/>
                <w:lang w:val="en-US"/>
              </w:rPr>
              <w:t xml:space="preserve">develop and </w:t>
            </w:r>
            <w:r w:rsidRPr="00352803">
              <w:rPr>
                <w:rFonts w:ascii="Calibri" w:eastAsia="SimSun" w:hAnsi="Calibri" w:cs="Times New Roman"/>
                <w:i/>
                <w:sz w:val="18"/>
                <w:lang w:val="en-US"/>
              </w:rPr>
              <w:t>apply surveys and undertaken inventories</w:t>
            </w:r>
            <w:r w:rsidR="00433666" w:rsidRPr="00352803">
              <w:rPr>
                <w:rFonts w:ascii="Calibri" w:eastAsia="SimSun" w:hAnsi="Calibri" w:cs="Times New Roman"/>
                <w:i/>
                <w:sz w:val="18"/>
                <w:lang w:val="en-US"/>
              </w:rPr>
              <w:t xml:space="preserve"> in the ASGM sector.</w:t>
            </w:r>
          </w:p>
          <w:p w14:paraId="4BAB8BFF" w14:textId="612D88C8" w:rsidR="00F82F21" w:rsidRPr="00352803" w:rsidRDefault="00F82F21" w:rsidP="00352803">
            <w:pPr>
              <w:pStyle w:val="ListParagraph"/>
              <w:numPr>
                <w:ilvl w:val="0"/>
                <w:numId w:val="31"/>
              </w:numPr>
              <w:spacing w:after="0" w:line="271" w:lineRule="auto"/>
              <w:rPr>
                <w:rFonts w:ascii="Times New Roman" w:eastAsia="SimSun" w:hAnsi="Times New Roman" w:cs="Times New Roman"/>
                <w:bCs/>
                <w:i/>
                <w:sz w:val="18"/>
                <w:szCs w:val="18"/>
                <w:lang w:val="en-US"/>
              </w:rPr>
            </w:pPr>
            <w:r w:rsidRPr="00352803">
              <w:rPr>
                <w:rFonts w:ascii="Calibri" w:eastAsia="SimSun" w:hAnsi="Calibri" w:cs="Times New Roman"/>
                <w:i/>
                <w:sz w:val="18"/>
                <w:lang w:val="en-US"/>
              </w:rPr>
              <w:t>Number of people able to review and comment on mercury inventories.</w:t>
            </w:r>
          </w:p>
        </w:tc>
        <w:tc>
          <w:tcPr>
            <w:tcW w:w="1665" w:type="dxa"/>
          </w:tcPr>
          <w:p w14:paraId="0F269267" w14:textId="182A6B9A" w:rsidR="007B1223" w:rsidRPr="007B1223" w:rsidRDefault="008348D7" w:rsidP="00E5729E">
            <w:pPr>
              <w:spacing w:after="0" w:line="271" w:lineRule="auto"/>
              <w:rPr>
                <w:rFonts w:ascii="Times New Roman" w:eastAsia="SimSun" w:hAnsi="Times New Roman" w:cs="Times New Roman"/>
                <w:b/>
                <w:bCs/>
                <w:sz w:val="18"/>
                <w:szCs w:val="18"/>
                <w:lang w:val="en-US"/>
              </w:rPr>
            </w:pPr>
            <w:r w:rsidRPr="008348D7">
              <w:rPr>
                <w:rFonts w:ascii="Times New Roman" w:eastAsia="SimSun" w:hAnsi="Times New Roman" w:cs="Times New Roman"/>
                <w:bCs/>
                <w:i/>
                <w:sz w:val="18"/>
                <w:szCs w:val="18"/>
                <w:lang w:val="en-US"/>
              </w:rPr>
              <w:t>No official training ha</w:t>
            </w:r>
            <w:r w:rsidR="00E5729E">
              <w:rPr>
                <w:rFonts w:ascii="Times New Roman" w:eastAsia="SimSun" w:hAnsi="Times New Roman" w:cs="Times New Roman"/>
                <w:bCs/>
                <w:i/>
                <w:sz w:val="18"/>
                <w:szCs w:val="18"/>
                <w:lang w:val="en-US"/>
              </w:rPr>
              <w:t>s</w:t>
            </w:r>
            <w:r w:rsidRPr="008348D7">
              <w:rPr>
                <w:rFonts w:ascii="Times New Roman" w:eastAsia="SimSun" w:hAnsi="Times New Roman" w:cs="Times New Roman"/>
                <w:bCs/>
                <w:i/>
                <w:sz w:val="18"/>
                <w:szCs w:val="18"/>
                <w:lang w:val="en-US"/>
              </w:rPr>
              <w:t xml:space="preserve"> been conducted</w:t>
            </w:r>
          </w:p>
        </w:tc>
        <w:tc>
          <w:tcPr>
            <w:tcW w:w="1913" w:type="dxa"/>
          </w:tcPr>
          <w:p w14:paraId="55CB27F3" w14:textId="77777777" w:rsidR="007B1223" w:rsidRPr="007B1223" w:rsidRDefault="007B1223"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Cs/>
                <w:i/>
                <w:sz w:val="18"/>
                <w:szCs w:val="18"/>
                <w:lang w:val="en-US"/>
              </w:rPr>
              <w:t>N/A</w:t>
            </w:r>
          </w:p>
        </w:tc>
        <w:tc>
          <w:tcPr>
            <w:tcW w:w="1795" w:type="dxa"/>
          </w:tcPr>
          <w:p w14:paraId="6DC86765" w14:textId="4CCBA624" w:rsidR="007B1223" w:rsidRPr="00B859DF" w:rsidRDefault="008348D7" w:rsidP="00B859DF">
            <w:pPr>
              <w:spacing w:after="0" w:line="271" w:lineRule="auto"/>
              <w:rPr>
                <w:rFonts w:ascii="Times New Roman" w:eastAsia="SimSun" w:hAnsi="Times New Roman" w:cs="Times New Roman"/>
                <w:b/>
                <w:bCs/>
                <w:sz w:val="18"/>
                <w:szCs w:val="18"/>
                <w:lang w:val="en-US"/>
              </w:rPr>
            </w:pPr>
            <w:r w:rsidRPr="008348D7">
              <w:rPr>
                <w:rFonts w:ascii="Times New Roman" w:eastAsia="SimSun" w:hAnsi="Times New Roman" w:cs="Times New Roman"/>
                <w:bCs/>
                <w:i/>
                <w:sz w:val="18"/>
                <w:szCs w:val="18"/>
                <w:lang w:val="en-US"/>
              </w:rPr>
              <w:t>National team of Officers a</w:t>
            </w:r>
            <w:r>
              <w:rPr>
                <w:rFonts w:ascii="Times New Roman" w:eastAsia="SimSun" w:hAnsi="Times New Roman" w:cs="Times New Roman"/>
                <w:bCs/>
                <w:i/>
                <w:sz w:val="18"/>
                <w:szCs w:val="18"/>
                <w:lang w:val="en-US"/>
              </w:rPr>
              <w:t>t NI</w:t>
            </w:r>
            <w:r w:rsidRPr="008348D7">
              <w:rPr>
                <w:rFonts w:ascii="Times New Roman" w:eastAsia="SimSun" w:hAnsi="Times New Roman" w:cs="Times New Roman"/>
                <w:bCs/>
                <w:i/>
                <w:sz w:val="18"/>
                <w:szCs w:val="18"/>
                <w:lang w:val="en-US"/>
              </w:rPr>
              <w:t>MO</w:t>
            </w:r>
            <w:r>
              <w:rPr>
                <w:rFonts w:ascii="Times New Roman" w:eastAsia="SimSun" w:hAnsi="Times New Roman" w:cs="Times New Roman"/>
                <w:bCs/>
                <w:i/>
                <w:sz w:val="18"/>
                <w:szCs w:val="18"/>
                <w:lang w:val="en-US"/>
              </w:rPr>
              <w:t>S</w:t>
            </w:r>
            <w:r w:rsidR="00B859DF">
              <w:rPr>
                <w:rFonts w:ascii="Times New Roman" w:eastAsia="SimSun" w:hAnsi="Times New Roman" w:cs="Times New Roman"/>
                <w:bCs/>
                <w:i/>
                <w:sz w:val="18"/>
                <w:szCs w:val="18"/>
                <w:lang w:val="en-US"/>
              </w:rPr>
              <w:t xml:space="preserve"> and other relevant stakeholders are</w:t>
            </w:r>
            <w:r w:rsidRPr="008348D7">
              <w:rPr>
                <w:rFonts w:ascii="Times New Roman" w:eastAsia="SimSun" w:hAnsi="Times New Roman" w:cs="Times New Roman"/>
                <w:bCs/>
                <w:i/>
                <w:sz w:val="18"/>
                <w:szCs w:val="18"/>
                <w:lang w:val="en-US"/>
              </w:rPr>
              <w:t xml:space="preserve"> traine</w:t>
            </w:r>
            <w:r w:rsidR="00B859DF">
              <w:rPr>
                <w:rFonts w:ascii="Times New Roman" w:eastAsia="SimSun" w:hAnsi="Times New Roman" w:cs="Times New Roman"/>
                <w:bCs/>
                <w:i/>
                <w:sz w:val="18"/>
                <w:szCs w:val="18"/>
                <w:lang w:val="en-US"/>
              </w:rPr>
              <w:t>d in conducting and reviewing a mercury inventory.</w:t>
            </w:r>
          </w:p>
        </w:tc>
        <w:tc>
          <w:tcPr>
            <w:tcW w:w="2817" w:type="dxa"/>
          </w:tcPr>
          <w:p w14:paraId="3C3390E4" w14:textId="3BB18BB8" w:rsidR="00B859DF" w:rsidRDefault="007B1223" w:rsidP="00B859DF">
            <w:pPr>
              <w:spacing w:after="0" w:line="271" w:lineRule="auto"/>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This is an Enabling Activity</w:t>
            </w:r>
          </w:p>
          <w:p w14:paraId="2F183BE5" w14:textId="77777777" w:rsidR="00B859DF" w:rsidRPr="00B859DF" w:rsidRDefault="00B859DF" w:rsidP="00B859DF">
            <w:pPr>
              <w:spacing w:after="0" w:line="271" w:lineRule="auto"/>
              <w:rPr>
                <w:rFonts w:ascii="Times New Roman" w:eastAsia="SimSun" w:hAnsi="Times New Roman" w:cs="Times New Roman"/>
                <w:bCs/>
                <w:i/>
                <w:sz w:val="18"/>
                <w:szCs w:val="18"/>
                <w:lang w:val="en-US"/>
              </w:rPr>
            </w:pPr>
            <w:r w:rsidRPr="00B859DF">
              <w:rPr>
                <w:rFonts w:ascii="Times New Roman" w:eastAsia="SimSun" w:hAnsi="Times New Roman" w:cs="Times New Roman"/>
                <w:bCs/>
                <w:i/>
                <w:sz w:val="18"/>
                <w:szCs w:val="18"/>
                <w:lang w:val="en-US"/>
              </w:rPr>
              <w:t>National counterparts and</w:t>
            </w:r>
          </w:p>
          <w:p w14:paraId="4FBE7E28" w14:textId="77777777" w:rsidR="00B859DF" w:rsidRPr="00B859DF" w:rsidRDefault="00B859DF" w:rsidP="00B859DF">
            <w:pPr>
              <w:spacing w:after="0" w:line="271" w:lineRule="auto"/>
              <w:rPr>
                <w:rFonts w:ascii="Times New Roman" w:eastAsia="SimSun" w:hAnsi="Times New Roman" w:cs="Times New Roman"/>
                <w:bCs/>
                <w:i/>
                <w:sz w:val="18"/>
                <w:szCs w:val="18"/>
                <w:lang w:val="en-US"/>
              </w:rPr>
            </w:pPr>
            <w:r w:rsidRPr="00B859DF">
              <w:rPr>
                <w:rFonts w:ascii="Times New Roman" w:eastAsia="SimSun" w:hAnsi="Times New Roman" w:cs="Times New Roman"/>
                <w:bCs/>
                <w:i/>
                <w:sz w:val="18"/>
                <w:szCs w:val="18"/>
                <w:lang w:val="en-US"/>
              </w:rPr>
              <w:t>relevant stakeholders remain</w:t>
            </w:r>
          </w:p>
          <w:p w14:paraId="30AF94B9" w14:textId="1637CCB7" w:rsidR="00B859DF" w:rsidRDefault="00B859DF" w:rsidP="00B859DF">
            <w:pPr>
              <w:spacing w:after="0" w:line="271" w:lineRule="auto"/>
              <w:rPr>
                <w:rFonts w:ascii="Times New Roman" w:eastAsia="SimSun" w:hAnsi="Times New Roman" w:cs="Times New Roman"/>
                <w:bCs/>
                <w:i/>
                <w:sz w:val="18"/>
                <w:szCs w:val="18"/>
                <w:lang w:val="en-US"/>
              </w:rPr>
            </w:pPr>
            <w:r w:rsidRPr="00B859DF">
              <w:rPr>
                <w:rFonts w:ascii="Times New Roman" w:eastAsia="SimSun" w:hAnsi="Times New Roman" w:cs="Times New Roman"/>
                <w:bCs/>
                <w:i/>
                <w:sz w:val="18"/>
                <w:szCs w:val="18"/>
                <w:lang w:val="en-US"/>
              </w:rPr>
              <w:t>engaged and cooperative</w:t>
            </w:r>
            <w:r w:rsidR="00352803">
              <w:rPr>
                <w:rFonts w:ascii="Times New Roman" w:eastAsia="SimSun" w:hAnsi="Times New Roman" w:cs="Times New Roman"/>
                <w:bCs/>
                <w:i/>
                <w:sz w:val="18"/>
                <w:szCs w:val="18"/>
                <w:lang w:val="en-US"/>
              </w:rPr>
              <w:t>.</w:t>
            </w:r>
          </w:p>
          <w:p w14:paraId="2549E71D" w14:textId="7FD985D3" w:rsidR="007B1223" w:rsidRPr="00B859DF" w:rsidRDefault="007B1223" w:rsidP="00B859DF">
            <w:pPr>
              <w:jc w:val="center"/>
              <w:rPr>
                <w:rFonts w:ascii="Times New Roman" w:eastAsia="SimSun" w:hAnsi="Times New Roman" w:cs="Times New Roman"/>
                <w:sz w:val="18"/>
                <w:szCs w:val="18"/>
                <w:lang w:val="en-US"/>
              </w:rPr>
            </w:pPr>
          </w:p>
        </w:tc>
      </w:tr>
      <w:tr w:rsidR="008348D7" w:rsidRPr="00EE3E21" w14:paraId="63D66E4E" w14:textId="77777777" w:rsidTr="00FA7F6B">
        <w:trPr>
          <w:trHeight w:val="1636"/>
        </w:trPr>
        <w:tc>
          <w:tcPr>
            <w:tcW w:w="2605" w:type="dxa"/>
            <w:shd w:val="pct12" w:color="auto" w:fill="auto"/>
          </w:tcPr>
          <w:p w14:paraId="052846E4" w14:textId="77777777" w:rsidR="008348D7" w:rsidRDefault="008348D7" w:rsidP="00B932D8">
            <w:pPr>
              <w:spacing w:after="0" w:line="240" w:lineRule="auto"/>
              <w:rPr>
                <w:rFonts w:ascii="Calibri" w:eastAsia="SimSun" w:hAnsi="Calibri" w:cs="Times New Roman"/>
                <w:b/>
                <w:sz w:val="18"/>
                <w:szCs w:val="18"/>
                <w:lang w:val="en-US"/>
              </w:rPr>
            </w:pPr>
            <w:r w:rsidRPr="00B932D8">
              <w:rPr>
                <w:rFonts w:ascii="Calibri" w:eastAsia="SimSun" w:hAnsi="Calibri" w:cs="Times New Roman"/>
                <w:b/>
                <w:sz w:val="18"/>
                <w:szCs w:val="18"/>
                <w:lang w:val="en-US"/>
              </w:rPr>
              <w:t>Component 1.</w:t>
            </w:r>
            <w:r w:rsidRPr="00B932D8">
              <w:rPr>
                <w:rFonts w:ascii="Calibri" w:eastAsia="SimSun" w:hAnsi="Calibri" w:cs="Times New Roman"/>
                <w:b/>
                <w:sz w:val="18"/>
                <w:szCs w:val="18"/>
                <w:lang w:val="en-US"/>
              </w:rPr>
              <w:tab/>
              <w:t>Develop Mercury Profile in artisanal and small-scale gold mining (ASGM)</w:t>
            </w:r>
          </w:p>
          <w:p w14:paraId="6BFBDB12" w14:textId="636DD95C" w:rsidR="008348D7" w:rsidRPr="007B1223" w:rsidRDefault="006A745B" w:rsidP="00B932D8">
            <w:pPr>
              <w:spacing w:after="0" w:line="240" w:lineRule="auto"/>
              <w:rPr>
                <w:rFonts w:ascii="Times New Roman" w:eastAsia="SimSun" w:hAnsi="Times New Roman" w:cs="Times New Roman"/>
                <w:b/>
                <w:bCs/>
                <w:sz w:val="18"/>
                <w:szCs w:val="18"/>
                <w:lang w:val="en-US"/>
              </w:rPr>
            </w:pPr>
            <w:r w:rsidRPr="007B1223">
              <w:rPr>
                <w:rFonts w:ascii="Calibri" w:eastAsia="SimSun" w:hAnsi="Calibri" w:cs="Times New Roman"/>
                <w:sz w:val="18"/>
                <w:szCs w:val="18"/>
                <w:lang w:val="en-US"/>
              </w:rPr>
              <w:t>Out</w:t>
            </w:r>
            <w:r>
              <w:rPr>
                <w:rFonts w:ascii="Calibri" w:eastAsia="SimSun" w:hAnsi="Calibri" w:cs="Times New Roman"/>
                <w:sz w:val="18"/>
                <w:szCs w:val="18"/>
                <w:lang w:val="en-US"/>
              </w:rPr>
              <w:t>put</w:t>
            </w:r>
            <w:r w:rsidRPr="007B1223">
              <w:rPr>
                <w:rFonts w:ascii="Calibri" w:eastAsia="SimSun" w:hAnsi="Calibri" w:cs="Times New Roman"/>
                <w:sz w:val="18"/>
                <w:szCs w:val="18"/>
                <w:lang w:val="en-US"/>
              </w:rPr>
              <w:t xml:space="preserve"> </w:t>
            </w:r>
            <w:r w:rsidR="008348D7" w:rsidRPr="007B1223">
              <w:rPr>
                <w:rFonts w:ascii="Calibri" w:eastAsia="SimSun" w:hAnsi="Calibri" w:cs="Times New Roman"/>
                <w:sz w:val="18"/>
                <w:szCs w:val="18"/>
                <w:lang w:val="en-US"/>
              </w:rPr>
              <w:t>1.2.:</w:t>
            </w:r>
            <w:r w:rsidR="008348D7">
              <w:rPr>
                <w:rFonts w:ascii="Calibri" w:eastAsia="SimSun" w:hAnsi="Calibri" w:cs="Times New Roman"/>
                <w:sz w:val="18"/>
                <w:szCs w:val="18"/>
                <w:lang w:val="en-US"/>
              </w:rPr>
              <w:t xml:space="preserve"> National Mercury Profile available</w:t>
            </w:r>
          </w:p>
        </w:tc>
        <w:tc>
          <w:tcPr>
            <w:tcW w:w="3595" w:type="dxa"/>
          </w:tcPr>
          <w:p w14:paraId="3810409E" w14:textId="6239AE56" w:rsidR="008348D7" w:rsidRPr="00352803" w:rsidRDefault="008348D7" w:rsidP="00352803">
            <w:pPr>
              <w:pStyle w:val="ListParagraph"/>
              <w:numPr>
                <w:ilvl w:val="0"/>
                <w:numId w:val="32"/>
              </w:numPr>
              <w:spacing w:after="0" w:line="271" w:lineRule="auto"/>
              <w:rPr>
                <w:rFonts w:ascii="Times New Roman" w:eastAsia="SimSun" w:hAnsi="Times New Roman" w:cs="Times New Roman"/>
                <w:b/>
                <w:bCs/>
                <w:sz w:val="18"/>
                <w:szCs w:val="18"/>
                <w:lang w:val="en-US"/>
              </w:rPr>
            </w:pPr>
            <w:r w:rsidRPr="00352803">
              <w:rPr>
                <w:rFonts w:ascii="Times New Roman" w:eastAsia="SimSun" w:hAnsi="Times New Roman" w:cs="Times New Roman"/>
                <w:bCs/>
                <w:i/>
                <w:sz w:val="18"/>
                <w:szCs w:val="18"/>
                <w:lang w:val="en-US"/>
              </w:rPr>
              <w:t>National Mercury profile within the ASGM sector available.</w:t>
            </w:r>
          </w:p>
        </w:tc>
        <w:tc>
          <w:tcPr>
            <w:tcW w:w="1665" w:type="dxa"/>
          </w:tcPr>
          <w:p w14:paraId="628BC9A2" w14:textId="724C14E2" w:rsidR="008348D7" w:rsidRPr="008348D7" w:rsidRDefault="00A35EEA" w:rsidP="007B1223">
            <w:pPr>
              <w:spacing w:after="0" w:line="271" w:lineRule="auto"/>
              <w:rPr>
                <w:rFonts w:ascii="Times New Roman" w:eastAsia="SimSun" w:hAnsi="Times New Roman" w:cs="Times New Roman"/>
                <w:bCs/>
                <w:i/>
                <w:sz w:val="18"/>
                <w:szCs w:val="18"/>
                <w:lang w:val="en-US"/>
              </w:rPr>
            </w:pPr>
            <w:r>
              <w:rPr>
                <w:rFonts w:ascii="Times New Roman" w:hAnsi="Times New Roman"/>
                <w:bCs/>
                <w:i/>
                <w:sz w:val="18"/>
                <w:szCs w:val="18"/>
                <w:lang w:val="en-US"/>
              </w:rPr>
              <w:t>No Mercury profile in the ASGM sector available.</w:t>
            </w:r>
          </w:p>
        </w:tc>
        <w:tc>
          <w:tcPr>
            <w:tcW w:w="1913" w:type="dxa"/>
          </w:tcPr>
          <w:p w14:paraId="712AC626" w14:textId="77777777" w:rsidR="008348D7" w:rsidRPr="007B1223" w:rsidRDefault="008348D7"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Cs/>
                <w:i/>
                <w:sz w:val="18"/>
                <w:szCs w:val="18"/>
                <w:lang w:val="en-US"/>
              </w:rPr>
              <w:t>N/A</w:t>
            </w:r>
          </w:p>
          <w:p w14:paraId="11009AD7" w14:textId="77777777" w:rsidR="008348D7" w:rsidRPr="007B1223" w:rsidRDefault="008348D7" w:rsidP="008348D7">
            <w:pPr>
              <w:spacing w:after="0" w:line="271" w:lineRule="auto"/>
              <w:rPr>
                <w:rFonts w:ascii="Times New Roman" w:eastAsia="SimSun" w:hAnsi="Times New Roman" w:cs="Times New Roman"/>
                <w:bCs/>
                <w:i/>
                <w:sz w:val="18"/>
                <w:szCs w:val="18"/>
                <w:lang w:val="en-US"/>
              </w:rPr>
            </w:pPr>
          </w:p>
          <w:p w14:paraId="27C33CB2" w14:textId="77777777" w:rsidR="008348D7" w:rsidRPr="007B1223" w:rsidRDefault="008348D7" w:rsidP="007B1223">
            <w:pPr>
              <w:spacing w:after="0" w:line="271" w:lineRule="auto"/>
              <w:jc w:val="center"/>
              <w:rPr>
                <w:rFonts w:ascii="Times New Roman" w:eastAsia="SimSun" w:hAnsi="Times New Roman" w:cs="Times New Roman"/>
                <w:b/>
                <w:bCs/>
                <w:sz w:val="18"/>
                <w:szCs w:val="18"/>
                <w:lang w:val="en-US"/>
              </w:rPr>
            </w:pPr>
          </w:p>
        </w:tc>
        <w:tc>
          <w:tcPr>
            <w:tcW w:w="1795" w:type="dxa"/>
          </w:tcPr>
          <w:p w14:paraId="0DB29D97" w14:textId="786B9402" w:rsidR="008348D7" w:rsidRPr="00A35EEA" w:rsidRDefault="002745A0" w:rsidP="002745A0">
            <w:pPr>
              <w:tabs>
                <w:tab w:val="left" w:pos="1325"/>
              </w:tabs>
              <w:rPr>
                <w:rFonts w:ascii="Times New Roman" w:eastAsia="SimSun" w:hAnsi="Times New Roman" w:cs="Times New Roman"/>
                <w:sz w:val="18"/>
                <w:szCs w:val="18"/>
                <w:lang w:val="en-US"/>
              </w:rPr>
            </w:pPr>
            <w:r>
              <w:rPr>
                <w:rFonts w:ascii="Times New Roman" w:eastAsia="SimSun" w:hAnsi="Times New Roman" w:cs="Times New Roman"/>
                <w:bCs/>
                <w:i/>
                <w:sz w:val="18"/>
                <w:szCs w:val="18"/>
                <w:lang w:val="en-US"/>
              </w:rPr>
              <w:t>National Mercury profile within the ASGM sector prepared.</w:t>
            </w:r>
          </w:p>
        </w:tc>
        <w:tc>
          <w:tcPr>
            <w:tcW w:w="2817" w:type="dxa"/>
          </w:tcPr>
          <w:p w14:paraId="7360CE47" w14:textId="77777777" w:rsidR="008348D7" w:rsidRPr="007B1223" w:rsidRDefault="008348D7" w:rsidP="007B1223">
            <w:pPr>
              <w:spacing w:after="0" w:line="271" w:lineRule="auto"/>
              <w:jc w:val="center"/>
              <w:rPr>
                <w:rFonts w:ascii="Times New Roman" w:eastAsia="SimSun" w:hAnsi="Times New Roman" w:cs="Times New Roman"/>
                <w:b/>
                <w:bCs/>
                <w:sz w:val="18"/>
                <w:szCs w:val="18"/>
                <w:lang w:val="en-US"/>
              </w:rPr>
            </w:pPr>
            <w:r w:rsidRPr="007B1223">
              <w:rPr>
                <w:rFonts w:ascii="Times New Roman" w:eastAsia="SimSun" w:hAnsi="Times New Roman" w:cs="Times New Roman"/>
                <w:bCs/>
                <w:i/>
                <w:sz w:val="18"/>
                <w:szCs w:val="18"/>
                <w:lang w:val="en-US"/>
              </w:rPr>
              <w:t>This is an Enabling Activity</w:t>
            </w:r>
          </w:p>
        </w:tc>
      </w:tr>
      <w:tr w:rsidR="007B1223" w:rsidRPr="007B1223" w14:paraId="4951CF0F" w14:textId="77777777" w:rsidTr="00181EC4">
        <w:trPr>
          <w:trHeight w:val="1538"/>
        </w:trPr>
        <w:tc>
          <w:tcPr>
            <w:tcW w:w="2605" w:type="dxa"/>
            <w:shd w:val="pct12" w:color="auto" w:fill="auto"/>
          </w:tcPr>
          <w:p w14:paraId="08E899D3" w14:textId="4CD7D98B" w:rsidR="004B7C46" w:rsidRPr="007B1223" w:rsidRDefault="007B1223" w:rsidP="004B7C46">
            <w:pPr>
              <w:spacing w:after="0" w:line="240" w:lineRule="auto"/>
              <w:rPr>
                <w:rFonts w:ascii="Times New Roman" w:eastAsia="SimSun" w:hAnsi="Times New Roman" w:cs="Times New Roman"/>
                <w:b/>
                <w:bCs/>
                <w:sz w:val="18"/>
                <w:szCs w:val="18"/>
                <w:lang w:val="en-US"/>
              </w:rPr>
            </w:pPr>
            <w:r w:rsidRPr="007B1223">
              <w:rPr>
                <w:rFonts w:ascii="Calibri" w:eastAsia="SimSun" w:hAnsi="Calibri" w:cs="Times New Roman"/>
                <w:b/>
                <w:sz w:val="18"/>
                <w:szCs w:val="18"/>
                <w:lang w:val="en-US"/>
              </w:rPr>
              <w:t xml:space="preserve">Component </w:t>
            </w:r>
            <w:r w:rsidR="004B7C46">
              <w:rPr>
                <w:rFonts w:ascii="Calibri" w:eastAsia="SimSun" w:hAnsi="Calibri" w:cs="Times New Roman"/>
                <w:b/>
                <w:sz w:val="18"/>
                <w:szCs w:val="18"/>
                <w:lang w:val="en-US"/>
              </w:rPr>
              <w:t>2</w:t>
            </w:r>
            <w:r w:rsidRPr="007B1223">
              <w:rPr>
                <w:rFonts w:ascii="Calibri" w:eastAsia="SimSun" w:hAnsi="Calibri" w:cs="Times New Roman"/>
                <w:b/>
                <w:sz w:val="18"/>
                <w:szCs w:val="18"/>
                <w:lang w:val="en-US"/>
              </w:rPr>
              <w:t>.</w:t>
            </w:r>
            <w:r w:rsidRPr="007B1223">
              <w:rPr>
                <w:rFonts w:ascii="Calibri" w:eastAsia="SimSun" w:hAnsi="Calibri" w:cs="Times New Roman"/>
                <w:b/>
                <w:sz w:val="18"/>
                <w:szCs w:val="18"/>
                <w:lang w:val="en-US"/>
              </w:rPr>
              <w:tab/>
            </w:r>
            <w:bookmarkStart w:id="18" w:name="projComp_02"/>
            <w:r w:rsidR="0014764F" w:rsidRPr="0014764F">
              <w:rPr>
                <w:rFonts w:ascii="Calibri" w:eastAsia="SimSun" w:hAnsi="Calibri" w:cs="Times New Roman"/>
                <w:b/>
                <w:sz w:val="18"/>
                <w:szCs w:val="18"/>
                <w:lang w:val="en-US"/>
              </w:rPr>
              <w:t>Strengthen institutional capacities and prepare National Action Plan (NAP), with agreed schedule to achieve the reduction of emissions and releases of, and exposure to, mercury in ASGM sector and processing, including mercury-free methods</w:t>
            </w:r>
            <w:bookmarkEnd w:id="18"/>
          </w:p>
          <w:p w14:paraId="2FF68F8E" w14:textId="0FC1982B" w:rsidR="004B7C46" w:rsidRDefault="004B7C46" w:rsidP="004B7C46">
            <w:pPr>
              <w:spacing w:after="0" w:line="240" w:lineRule="auto"/>
              <w:rPr>
                <w:rFonts w:ascii="Times New Roman" w:eastAsia="SimSun" w:hAnsi="Times New Roman" w:cs="Times New Roman"/>
                <w:bCs/>
                <w:sz w:val="18"/>
                <w:szCs w:val="18"/>
                <w:lang w:val="en-US"/>
              </w:rPr>
            </w:pPr>
            <w:r w:rsidRPr="004B7C46">
              <w:rPr>
                <w:rFonts w:ascii="Times New Roman" w:eastAsia="SimSun" w:hAnsi="Times New Roman" w:cs="Times New Roman"/>
                <w:bCs/>
                <w:sz w:val="18"/>
                <w:szCs w:val="18"/>
                <w:lang w:val="en-US"/>
              </w:rPr>
              <w:t>Out</w:t>
            </w:r>
            <w:r w:rsidR="006A745B">
              <w:rPr>
                <w:rFonts w:ascii="Times New Roman" w:eastAsia="SimSun" w:hAnsi="Times New Roman" w:cs="Times New Roman"/>
                <w:bCs/>
                <w:sz w:val="18"/>
                <w:szCs w:val="18"/>
                <w:lang w:val="en-US"/>
              </w:rPr>
              <w:t>put</w:t>
            </w:r>
            <w:r w:rsidRPr="004B7C46">
              <w:rPr>
                <w:rFonts w:ascii="Times New Roman" w:eastAsia="SimSun" w:hAnsi="Times New Roman" w:cs="Times New Roman"/>
                <w:bCs/>
                <w:sz w:val="18"/>
                <w:szCs w:val="18"/>
                <w:lang w:val="en-US"/>
              </w:rPr>
              <w:t xml:space="preserve"> 2.1. </w:t>
            </w:r>
            <w:r w:rsidR="00EA420E" w:rsidRPr="00EA420E">
              <w:rPr>
                <w:rFonts w:ascii="Times New Roman" w:eastAsia="SimSun" w:hAnsi="Times New Roman" w:cs="Times New Roman"/>
                <w:bCs/>
                <w:sz w:val="18"/>
                <w:szCs w:val="18"/>
                <w:lang w:val="en-US"/>
              </w:rPr>
              <w:t>Legal and regulatory status of ASGM in Suriname reviewed, including land property rights and use permits in mining areas and licensing procedures.</w:t>
            </w:r>
          </w:p>
          <w:p w14:paraId="5E61F104" w14:textId="79D00BCA" w:rsidR="00EA420E" w:rsidRPr="007B1223" w:rsidRDefault="00EA420E" w:rsidP="004B7C46">
            <w:pPr>
              <w:spacing w:after="0" w:line="240" w:lineRule="auto"/>
              <w:rPr>
                <w:rFonts w:ascii="Times New Roman" w:eastAsia="SimSun" w:hAnsi="Times New Roman" w:cs="Times New Roman"/>
                <w:b/>
                <w:bCs/>
                <w:sz w:val="18"/>
                <w:szCs w:val="18"/>
                <w:lang w:val="en-US"/>
              </w:rPr>
            </w:pPr>
          </w:p>
        </w:tc>
        <w:tc>
          <w:tcPr>
            <w:tcW w:w="3595" w:type="dxa"/>
          </w:tcPr>
          <w:p w14:paraId="6E941157" w14:textId="77777777" w:rsidR="008348D7" w:rsidRPr="00352803" w:rsidRDefault="008348D7" w:rsidP="00352803">
            <w:pPr>
              <w:pStyle w:val="ListParagraph"/>
              <w:numPr>
                <w:ilvl w:val="0"/>
                <w:numId w:val="30"/>
              </w:numPr>
              <w:spacing w:after="0" w:line="271" w:lineRule="auto"/>
              <w:ind w:left="360"/>
              <w:rPr>
                <w:rFonts w:ascii="Times New Roman" w:eastAsia="SimSun" w:hAnsi="Times New Roman" w:cs="Times New Roman"/>
                <w:bCs/>
                <w:i/>
                <w:sz w:val="18"/>
                <w:szCs w:val="18"/>
                <w:lang w:val="en-US"/>
              </w:rPr>
            </w:pPr>
            <w:r w:rsidRPr="00352803">
              <w:rPr>
                <w:rFonts w:ascii="Times New Roman" w:eastAsia="SimSun" w:hAnsi="Times New Roman" w:cs="Times New Roman"/>
                <w:bCs/>
                <w:i/>
                <w:sz w:val="18"/>
                <w:szCs w:val="18"/>
                <w:lang w:val="en-US"/>
              </w:rPr>
              <w:t>Number of policies and</w:t>
            </w:r>
            <w:r w:rsidR="00E5729E" w:rsidRPr="00352803">
              <w:rPr>
                <w:rFonts w:ascii="Times New Roman" w:eastAsia="SimSun" w:hAnsi="Times New Roman" w:cs="Times New Roman"/>
                <w:bCs/>
                <w:i/>
                <w:sz w:val="18"/>
                <w:szCs w:val="18"/>
                <w:lang w:val="en-US"/>
              </w:rPr>
              <w:t xml:space="preserve"> auxiliary regulations adopted</w:t>
            </w:r>
            <w:r w:rsidRPr="00352803">
              <w:rPr>
                <w:rFonts w:ascii="Times New Roman" w:eastAsia="SimSun" w:hAnsi="Times New Roman" w:cs="Times New Roman"/>
                <w:bCs/>
                <w:i/>
                <w:sz w:val="18"/>
                <w:szCs w:val="18"/>
                <w:lang w:val="en-US"/>
              </w:rPr>
              <w:t>.</w:t>
            </w:r>
          </w:p>
          <w:p w14:paraId="4A310D00" w14:textId="45E1BDA9" w:rsidR="002745A0" w:rsidRPr="00352803" w:rsidRDefault="002745A0" w:rsidP="00352803">
            <w:pPr>
              <w:pStyle w:val="ListParagraph"/>
              <w:numPr>
                <w:ilvl w:val="0"/>
                <w:numId w:val="30"/>
              </w:numPr>
              <w:spacing w:after="0" w:line="271" w:lineRule="auto"/>
              <w:ind w:left="360"/>
              <w:rPr>
                <w:rFonts w:ascii="Times New Roman" w:eastAsia="SimSun" w:hAnsi="Times New Roman" w:cs="Times New Roman"/>
                <w:bCs/>
                <w:i/>
                <w:sz w:val="18"/>
                <w:szCs w:val="18"/>
                <w:lang w:val="en-US"/>
              </w:rPr>
            </w:pPr>
            <w:r w:rsidRPr="00352803">
              <w:rPr>
                <w:rFonts w:ascii="Times New Roman" w:eastAsia="SimSun" w:hAnsi="Times New Roman" w:cs="Times New Roman"/>
                <w:bCs/>
                <w:i/>
                <w:sz w:val="18"/>
                <w:szCs w:val="18"/>
                <w:lang w:val="en-US"/>
              </w:rPr>
              <w:t xml:space="preserve">Number of </w:t>
            </w:r>
            <w:r w:rsidR="00277A24" w:rsidRPr="00352803">
              <w:rPr>
                <w:rFonts w:ascii="Times New Roman" w:eastAsia="SimSun" w:hAnsi="Times New Roman" w:cs="Times New Roman"/>
                <w:bCs/>
                <w:i/>
                <w:sz w:val="18"/>
                <w:szCs w:val="18"/>
                <w:lang w:val="en-US"/>
              </w:rPr>
              <w:t xml:space="preserve">institutional capacity </w:t>
            </w:r>
            <w:r w:rsidRPr="00352803">
              <w:rPr>
                <w:rFonts w:ascii="Times New Roman" w:eastAsia="SimSun" w:hAnsi="Times New Roman" w:cs="Times New Roman"/>
                <w:bCs/>
                <w:i/>
                <w:sz w:val="18"/>
                <w:szCs w:val="18"/>
                <w:lang w:val="en-US"/>
              </w:rPr>
              <w:t>gaps</w:t>
            </w:r>
            <w:r w:rsidR="00277A24" w:rsidRPr="00352803">
              <w:rPr>
                <w:rFonts w:ascii="Times New Roman" w:eastAsia="SimSun" w:hAnsi="Times New Roman" w:cs="Times New Roman"/>
                <w:bCs/>
                <w:i/>
                <w:sz w:val="18"/>
                <w:szCs w:val="18"/>
                <w:lang w:val="en-US"/>
              </w:rPr>
              <w:t xml:space="preserve"> and barriers</w:t>
            </w:r>
            <w:r w:rsidRPr="00352803">
              <w:rPr>
                <w:rFonts w:ascii="Times New Roman" w:eastAsia="SimSun" w:hAnsi="Times New Roman" w:cs="Times New Roman"/>
                <w:bCs/>
                <w:i/>
                <w:sz w:val="18"/>
                <w:szCs w:val="18"/>
                <w:lang w:val="en-US"/>
              </w:rPr>
              <w:t xml:space="preserve"> determined</w:t>
            </w:r>
            <w:r w:rsidR="00277A24" w:rsidRPr="00352803">
              <w:rPr>
                <w:rFonts w:ascii="Times New Roman" w:eastAsia="SimSun" w:hAnsi="Times New Roman" w:cs="Times New Roman"/>
                <w:bCs/>
                <w:i/>
                <w:sz w:val="18"/>
                <w:szCs w:val="18"/>
                <w:lang w:val="en-US"/>
              </w:rPr>
              <w:t>.</w:t>
            </w:r>
          </w:p>
          <w:p w14:paraId="0E367762" w14:textId="2D74B1DA" w:rsidR="00BC1DB3" w:rsidRPr="00352803" w:rsidRDefault="00BC1DB3" w:rsidP="00352803">
            <w:pPr>
              <w:pStyle w:val="ListParagraph"/>
              <w:numPr>
                <w:ilvl w:val="0"/>
                <w:numId w:val="30"/>
              </w:numPr>
              <w:spacing w:after="0" w:line="271" w:lineRule="auto"/>
              <w:ind w:left="360"/>
              <w:rPr>
                <w:rFonts w:ascii="Times New Roman" w:eastAsia="SimSun" w:hAnsi="Times New Roman" w:cs="Times New Roman"/>
                <w:bCs/>
                <w:i/>
                <w:sz w:val="18"/>
                <w:szCs w:val="18"/>
                <w:lang w:val="en-US"/>
              </w:rPr>
            </w:pPr>
            <w:r w:rsidRPr="00352803">
              <w:rPr>
                <w:rFonts w:ascii="Times New Roman" w:eastAsia="SimSun" w:hAnsi="Times New Roman" w:cs="Times New Roman"/>
                <w:bCs/>
                <w:i/>
                <w:sz w:val="18"/>
                <w:szCs w:val="18"/>
                <w:lang w:val="en-US"/>
              </w:rPr>
              <w:t>Numbers of different roles of various sectors and organizations identified</w:t>
            </w:r>
            <w:r w:rsidR="00D70677" w:rsidRPr="00352803">
              <w:rPr>
                <w:rFonts w:ascii="Times New Roman" w:eastAsia="SimSun" w:hAnsi="Times New Roman" w:cs="Times New Roman"/>
                <w:bCs/>
                <w:i/>
                <w:sz w:val="18"/>
                <w:szCs w:val="18"/>
                <w:lang w:val="en-US"/>
              </w:rPr>
              <w:t>.</w:t>
            </w:r>
          </w:p>
          <w:p w14:paraId="402D4CC9" w14:textId="77777777" w:rsidR="00D70677" w:rsidRDefault="00D70677" w:rsidP="00352803">
            <w:pPr>
              <w:spacing w:after="0" w:line="271" w:lineRule="auto"/>
              <w:rPr>
                <w:rFonts w:ascii="Times New Roman" w:eastAsia="SimSun" w:hAnsi="Times New Roman" w:cs="Times New Roman"/>
                <w:bCs/>
                <w:i/>
                <w:sz w:val="18"/>
                <w:szCs w:val="18"/>
                <w:lang w:val="en-US"/>
              </w:rPr>
            </w:pPr>
          </w:p>
          <w:p w14:paraId="6E681D96" w14:textId="54464CFE" w:rsidR="00E5729E" w:rsidRPr="00352803" w:rsidRDefault="00E5729E" w:rsidP="00EA420E">
            <w:pPr>
              <w:pStyle w:val="ListParagraph"/>
              <w:spacing w:after="0" w:line="271" w:lineRule="auto"/>
              <w:ind w:left="360"/>
              <w:rPr>
                <w:rFonts w:ascii="Times New Roman" w:eastAsia="SimSun" w:hAnsi="Times New Roman" w:cs="Times New Roman"/>
                <w:bCs/>
                <w:i/>
                <w:sz w:val="18"/>
                <w:szCs w:val="18"/>
                <w:lang w:val="en-US"/>
              </w:rPr>
            </w:pPr>
          </w:p>
        </w:tc>
        <w:tc>
          <w:tcPr>
            <w:tcW w:w="1665" w:type="dxa"/>
          </w:tcPr>
          <w:p w14:paraId="602A20AF" w14:textId="77777777" w:rsidR="007B1223" w:rsidRDefault="007B1223" w:rsidP="007B1223">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Limited targeted awareness pieces</w:t>
            </w:r>
          </w:p>
          <w:p w14:paraId="4AAC183E" w14:textId="77777777" w:rsidR="008348D7" w:rsidRDefault="008348D7" w:rsidP="007B1223">
            <w:pPr>
              <w:spacing w:after="0" w:line="271" w:lineRule="auto"/>
              <w:jc w:val="center"/>
              <w:rPr>
                <w:rFonts w:ascii="Times New Roman" w:eastAsia="SimSun" w:hAnsi="Times New Roman" w:cs="Times New Roman"/>
                <w:bCs/>
                <w:i/>
                <w:sz w:val="18"/>
                <w:szCs w:val="18"/>
                <w:lang w:val="en-US"/>
              </w:rPr>
            </w:pPr>
          </w:p>
          <w:p w14:paraId="2B43FC5A" w14:textId="26BAE3DE" w:rsidR="008348D7" w:rsidRPr="007B1223" w:rsidRDefault="002745A0" w:rsidP="007B1223">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N</w:t>
            </w:r>
            <w:r w:rsidR="008348D7" w:rsidRPr="008348D7">
              <w:rPr>
                <w:rFonts w:ascii="Times New Roman" w:eastAsia="SimSun" w:hAnsi="Times New Roman" w:cs="Times New Roman"/>
                <w:bCs/>
                <w:i/>
                <w:sz w:val="18"/>
                <w:szCs w:val="18"/>
                <w:lang w:val="en-US"/>
              </w:rPr>
              <w:t>o comprehensive approach on Hg issues exists</w:t>
            </w:r>
          </w:p>
        </w:tc>
        <w:tc>
          <w:tcPr>
            <w:tcW w:w="1913" w:type="dxa"/>
          </w:tcPr>
          <w:p w14:paraId="6A34E215" w14:textId="77777777" w:rsidR="007B1223" w:rsidRPr="007B1223" w:rsidRDefault="007B1223" w:rsidP="007B1223">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 xml:space="preserve">N/A </w:t>
            </w:r>
          </w:p>
        </w:tc>
        <w:tc>
          <w:tcPr>
            <w:tcW w:w="1795" w:type="dxa"/>
          </w:tcPr>
          <w:p w14:paraId="1B11348D" w14:textId="77777777" w:rsidR="007B1223" w:rsidRDefault="00D70677" w:rsidP="00D70677">
            <w:pPr>
              <w:spacing w:after="0" w:line="271" w:lineRule="auto"/>
              <w:rPr>
                <w:rFonts w:ascii="Times New Roman" w:eastAsia="SimSun" w:hAnsi="Times New Roman" w:cs="Times New Roman"/>
                <w:bCs/>
                <w:i/>
                <w:sz w:val="18"/>
                <w:szCs w:val="18"/>
                <w:lang w:val="en-US"/>
              </w:rPr>
            </w:pPr>
            <w:r w:rsidRPr="00D70677">
              <w:rPr>
                <w:rFonts w:ascii="Times New Roman" w:eastAsia="SimSun" w:hAnsi="Times New Roman" w:cs="Times New Roman"/>
                <w:bCs/>
                <w:i/>
                <w:sz w:val="18"/>
                <w:szCs w:val="18"/>
                <w:lang w:val="en-US"/>
              </w:rPr>
              <w:t>Institutional capacity needs</w:t>
            </w:r>
            <w:r>
              <w:rPr>
                <w:rFonts w:ascii="Times New Roman" w:eastAsia="SimSun" w:hAnsi="Times New Roman" w:cs="Times New Roman"/>
                <w:bCs/>
                <w:i/>
                <w:sz w:val="18"/>
                <w:szCs w:val="18"/>
                <w:lang w:val="en-US"/>
              </w:rPr>
              <w:t xml:space="preserve"> </w:t>
            </w:r>
            <w:r w:rsidRPr="00D70677">
              <w:rPr>
                <w:rFonts w:ascii="Times New Roman" w:eastAsia="SimSun" w:hAnsi="Times New Roman" w:cs="Times New Roman"/>
                <w:bCs/>
                <w:i/>
                <w:sz w:val="18"/>
                <w:szCs w:val="18"/>
                <w:lang w:val="en-US"/>
              </w:rPr>
              <w:t>assessment report</w:t>
            </w:r>
            <w:r>
              <w:rPr>
                <w:rFonts w:ascii="Times New Roman" w:eastAsia="SimSun" w:hAnsi="Times New Roman" w:cs="Times New Roman"/>
                <w:bCs/>
                <w:i/>
                <w:sz w:val="18"/>
                <w:szCs w:val="18"/>
                <w:lang w:val="en-US"/>
              </w:rPr>
              <w:t xml:space="preserve"> available.</w:t>
            </w:r>
          </w:p>
          <w:p w14:paraId="09D23439" w14:textId="6820EEDC" w:rsidR="00D70677" w:rsidRPr="007B1223" w:rsidRDefault="00D70677" w:rsidP="00EA420E">
            <w:pPr>
              <w:spacing w:after="0" w:line="271" w:lineRule="auto"/>
              <w:rPr>
                <w:rFonts w:ascii="Times New Roman" w:eastAsia="SimSun" w:hAnsi="Times New Roman" w:cs="Times New Roman"/>
                <w:bCs/>
                <w:i/>
                <w:sz w:val="18"/>
                <w:szCs w:val="18"/>
                <w:lang w:val="en-US"/>
              </w:rPr>
            </w:pPr>
          </w:p>
        </w:tc>
        <w:tc>
          <w:tcPr>
            <w:tcW w:w="2817" w:type="dxa"/>
          </w:tcPr>
          <w:p w14:paraId="47CF3875" w14:textId="77777777" w:rsidR="007B1223" w:rsidRDefault="007B1223" w:rsidP="00D70677">
            <w:pPr>
              <w:spacing w:after="0" w:line="271" w:lineRule="auto"/>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This is an Enabling Activity</w:t>
            </w:r>
            <w:r w:rsidR="00D70677">
              <w:rPr>
                <w:rFonts w:ascii="Times New Roman" w:eastAsia="SimSun" w:hAnsi="Times New Roman" w:cs="Times New Roman"/>
                <w:bCs/>
                <w:i/>
                <w:sz w:val="18"/>
                <w:szCs w:val="18"/>
                <w:lang w:val="en-US"/>
              </w:rPr>
              <w:t>.</w:t>
            </w:r>
          </w:p>
          <w:p w14:paraId="1DBC9228" w14:textId="0D1DD746" w:rsidR="00D70677" w:rsidRPr="00D70677" w:rsidRDefault="00D70677" w:rsidP="00D70677">
            <w:pPr>
              <w:spacing w:after="0" w:line="271" w:lineRule="auto"/>
              <w:rPr>
                <w:rFonts w:ascii="Times New Roman" w:eastAsia="SimSun" w:hAnsi="Times New Roman" w:cs="Times New Roman"/>
                <w:bCs/>
                <w:i/>
                <w:sz w:val="18"/>
                <w:szCs w:val="18"/>
                <w:lang w:val="en-US"/>
              </w:rPr>
            </w:pPr>
            <w:r w:rsidRPr="00D70677">
              <w:rPr>
                <w:rFonts w:ascii="Times New Roman" w:eastAsia="SimSun" w:hAnsi="Times New Roman" w:cs="Times New Roman"/>
                <w:bCs/>
                <w:i/>
                <w:sz w:val="18"/>
                <w:szCs w:val="18"/>
                <w:lang w:val="en-US"/>
              </w:rPr>
              <w:t>Information and key</w:t>
            </w:r>
            <w:r>
              <w:rPr>
                <w:rFonts w:ascii="Times New Roman" w:eastAsia="SimSun" w:hAnsi="Times New Roman" w:cs="Times New Roman"/>
                <w:bCs/>
                <w:i/>
                <w:sz w:val="18"/>
                <w:szCs w:val="18"/>
                <w:lang w:val="en-US"/>
              </w:rPr>
              <w:t xml:space="preserve"> </w:t>
            </w:r>
            <w:r w:rsidRPr="00D70677">
              <w:rPr>
                <w:rFonts w:ascii="Times New Roman" w:eastAsia="SimSun" w:hAnsi="Times New Roman" w:cs="Times New Roman"/>
                <w:bCs/>
                <w:i/>
                <w:sz w:val="18"/>
                <w:szCs w:val="18"/>
                <w:lang w:val="en-US"/>
              </w:rPr>
              <w:t>informants will be readily</w:t>
            </w:r>
            <w:r>
              <w:rPr>
                <w:rFonts w:ascii="Times New Roman" w:eastAsia="SimSun" w:hAnsi="Times New Roman" w:cs="Times New Roman"/>
                <w:bCs/>
                <w:i/>
                <w:sz w:val="18"/>
                <w:szCs w:val="18"/>
                <w:lang w:val="en-US"/>
              </w:rPr>
              <w:t xml:space="preserve"> </w:t>
            </w:r>
            <w:r w:rsidRPr="00D70677">
              <w:rPr>
                <w:rFonts w:ascii="Times New Roman" w:eastAsia="SimSun" w:hAnsi="Times New Roman" w:cs="Times New Roman"/>
                <w:bCs/>
                <w:i/>
                <w:sz w:val="18"/>
                <w:szCs w:val="18"/>
                <w:lang w:val="en-US"/>
              </w:rPr>
              <w:t>accessible</w:t>
            </w:r>
            <w:r w:rsidR="00352803">
              <w:rPr>
                <w:rFonts w:ascii="Times New Roman" w:eastAsia="SimSun" w:hAnsi="Times New Roman" w:cs="Times New Roman"/>
                <w:bCs/>
                <w:i/>
                <w:sz w:val="18"/>
                <w:szCs w:val="18"/>
                <w:lang w:val="en-US"/>
              </w:rPr>
              <w:t>.</w:t>
            </w:r>
          </w:p>
          <w:p w14:paraId="05BF7D4D" w14:textId="1C104615" w:rsidR="00D70677" w:rsidRPr="00D70677" w:rsidRDefault="00D70677" w:rsidP="00D70677">
            <w:pPr>
              <w:spacing w:after="0" w:line="271" w:lineRule="auto"/>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H</w:t>
            </w:r>
            <w:r w:rsidRPr="00D70677">
              <w:rPr>
                <w:rFonts w:ascii="Times New Roman" w:eastAsia="SimSun" w:hAnsi="Times New Roman" w:cs="Times New Roman"/>
                <w:bCs/>
                <w:i/>
                <w:sz w:val="18"/>
                <w:szCs w:val="18"/>
                <w:lang w:val="en-US"/>
              </w:rPr>
              <w:t>igh level interests and</w:t>
            </w:r>
            <w:r>
              <w:rPr>
                <w:rFonts w:ascii="Times New Roman" w:eastAsia="SimSun" w:hAnsi="Times New Roman" w:cs="Times New Roman"/>
                <w:bCs/>
                <w:i/>
                <w:sz w:val="18"/>
                <w:szCs w:val="18"/>
                <w:lang w:val="en-US"/>
              </w:rPr>
              <w:t xml:space="preserve"> </w:t>
            </w:r>
            <w:r w:rsidRPr="00D70677">
              <w:rPr>
                <w:rFonts w:ascii="Times New Roman" w:eastAsia="SimSun" w:hAnsi="Times New Roman" w:cs="Times New Roman"/>
                <w:bCs/>
                <w:i/>
                <w:sz w:val="18"/>
                <w:szCs w:val="18"/>
                <w:lang w:val="en-US"/>
              </w:rPr>
              <w:t>engagement from</w:t>
            </w:r>
            <w:r>
              <w:rPr>
                <w:rFonts w:ascii="Times New Roman" w:eastAsia="SimSun" w:hAnsi="Times New Roman" w:cs="Times New Roman"/>
                <w:bCs/>
                <w:i/>
                <w:sz w:val="18"/>
                <w:szCs w:val="18"/>
                <w:lang w:val="en-US"/>
              </w:rPr>
              <w:t xml:space="preserve"> </w:t>
            </w:r>
            <w:r w:rsidRPr="00D70677">
              <w:rPr>
                <w:rFonts w:ascii="Times New Roman" w:eastAsia="SimSun" w:hAnsi="Times New Roman" w:cs="Times New Roman"/>
                <w:bCs/>
                <w:i/>
                <w:sz w:val="18"/>
                <w:szCs w:val="18"/>
                <w:lang w:val="en-US"/>
              </w:rPr>
              <w:t>representatives of key</w:t>
            </w:r>
            <w:r>
              <w:rPr>
                <w:rFonts w:ascii="Times New Roman" w:eastAsia="SimSun" w:hAnsi="Times New Roman" w:cs="Times New Roman"/>
                <w:bCs/>
                <w:i/>
                <w:sz w:val="18"/>
                <w:szCs w:val="18"/>
                <w:lang w:val="en-US"/>
              </w:rPr>
              <w:t xml:space="preserve"> </w:t>
            </w:r>
            <w:r w:rsidRPr="00D70677">
              <w:rPr>
                <w:rFonts w:ascii="Times New Roman" w:eastAsia="SimSun" w:hAnsi="Times New Roman" w:cs="Times New Roman"/>
                <w:bCs/>
                <w:i/>
                <w:sz w:val="18"/>
                <w:szCs w:val="18"/>
                <w:lang w:val="en-US"/>
              </w:rPr>
              <w:t>ministries and stakeholder</w:t>
            </w:r>
          </w:p>
          <w:p w14:paraId="602A1418" w14:textId="1E36B284" w:rsidR="00D70677" w:rsidRPr="007B1223" w:rsidRDefault="00D70677" w:rsidP="00D70677">
            <w:pPr>
              <w:spacing w:after="0" w:line="271" w:lineRule="auto"/>
              <w:rPr>
                <w:rFonts w:ascii="Times New Roman" w:eastAsia="SimSun" w:hAnsi="Times New Roman" w:cs="Times New Roman"/>
                <w:bCs/>
                <w:i/>
                <w:sz w:val="18"/>
                <w:szCs w:val="18"/>
                <w:lang w:val="en-US"/>
              </w:rPr>
            </w:pPr>
            <w:r w:rsidRPr="00D70677">
              <w:rPr>
                <w:rFonts w:ascii="Times New Roman" w:eastAsia="SimSun" w:hAnsi="Times New Roman" w:cs="Times New Roman"/>
                <w:bCs/>
                <w:i/>
                <w:sz w:val="18"/>
                <w:szCs w:val="18"/>
                <w:lang w:val="en-US"/>
              </w:rPr>
              <w:t>groups</w:t>
            </w:r>
          </w:p>
        </w:tc>
      </w:tr>
      <w:tr w:rsidR="00F924B1" w:rsidRPr="00EA420E" w14:paraId="47E886A0" w14:textId="77777777" w:rsidTr="00181EC4">
        <w:trPr>
          <w:trHeight w:val="1538"/>
        </w:trPr>
        <w:tc>
          <w:tcPr>
            <w:tcW w:w="2605" w:type="dxa"/>
            <w:shd w:val="pct12" w:color="auto" w:fill="auto"/>
          </w:tcPr>
          <w:p w14:paraId="670842C7" w14:textId="7E5C2700" w:rsidR="00EA420E" w:rsidRPr="00EA420E" w:rsidRDefault="00EA420E" w:rsidP="00EA420E">
            <w:pPr>
              <w:spacing w:after="0" w:line="240" w:lineRule="auto"/>
              <w:rPr>
                <w:rFonts w:ascii="Calibri" w:eastAsia="SimSun" w:hAnsi="Calibri" w:cs="Times New Roman"/>
                <w:b/>
                <w:bCs/>
                <w:sz w:val="18"/>
                <w:szCs w:val="18"/>
                <w:lang w:val="en-US"/>
              </w:rPr>
            </w:pPr>
            <w:r w:rsidRPr="00EA420E">
              <w:rPr>
                <w:rFonts w:ascii="Calibri" w:eastAsia="SimSun" w:hAnsi="Calibri" w:cs="Times New Roman"/>
                <w:b/>
                <w:sz w:val="18"/>
                <w:szCs w:val="18"/>
                <w:lang w:val="en-US"/>
              </w:rPr>
              <w:t>Component 2.</w:t>
            </w:r>
            <w:r w:rsidRPr="00EA420E">
              <w:rPr>
                <w:rFonts w:ascii="Calibri" w:eastAsia="SimSun" w:hAnsi="Calibri" w:cs="Times New Roman"/>
                <w:b/>
                <w:sz w:val="18"/>
                <w:szCs w:val="18"/>
                <w:lang w:val="en-US"/>
              </w:rPr>
              <w:tab/>
            </w:r>
            <w:r w:rsidR="0014764F" w:rsidRPr="0014764F">
              <w:rPr>
                <w:rFonts w:ascii="Calibri" w:eastAsia="SimSun" w:hAnsi="Calibri" w:cs="Times New Roman"/>
                <w:b/>
                <w:sz w:val="18"/>
                <w:szCs w:val="18"/>
                <w:lang w:val="en-US"/>
              </w:rPr>
              <w:t>Strengthen institutional capacities and prepare National Action Plan (NAP), with agreed schedule to achieve the reduction of emissions and releases of, and exposure to, mercury in ASGM sector and processing, including mercury-free methods</w:t>
            </w:r>
            <w:r w:rsidRPr="00EA420E">
              <w:rPr>
                <w:rFonts w:ascii="Calibri" w:eastAsia="SimSun" w:hAnsi="Calibri" w:cs="Times New Roman"/>
                <w:b/>
                <w:sz w:val="18"/>
                <w:szCs w:val="18"/>
                <w:lang w:val="en-US"/>
              </w:rPr>
              <w:t>.</w:t>
            </w:r>
            <w:r w:rsidRPr="00EA420E">
              <w:rPr>
                <w:rFonts w:ascii="Calibri" w:eastAsia="SimSun" w:hAnsi="Calibri" w:cs="Times New Roman"/>
                <w:b/>
                <w:bCs/>
                <w:sz w:val="18"/>
                <w:szCs w:val="18"/>
                <w:lang w:val="en-US"/>
              </w:rPr>
              <w:t xml:space="preserve"> </w:t>
            </w:r>
          </w:p>
          <w:p w14:paraId="77CA88FF" w14:textId="305114A6" w:rsidR="00F924B1" w:rsidRDefault="006A745B" w:rsidP="00EA420E">
            <w:pPr>
              <w:spacing w:after="0" w:line="240" w:lineRule="auto"/>
              <w:rPr>
                <w:rFonts w:ascii="Calibri" w:eastAsia="SimSun" w:hAnsi="Calibri" w:cs="Times New Roman"/>
                <w:bCs/>
                <w:sz w:val="18"/>
                <w:szCs w:val="18"/>
                <w:lang w:val="en-US"/>
              </w:rPr>
            </w:pPr>
            <w:r w:rsidRPr="00EA420E">
              <w:rPr>
                <w:rFonts w:ascii="Calibri" w:eastAsia="SimSun" w:hAnsi="Calibri" w:cs="Times New Roman"/>
                <w:bCs/>
                <w:sz w:val="18"/>
                <w:szCs w:val="18"/>
                <w:lang w:val="en-US"/>
              </w:rPr>
              <w:lastRenderedPageBreak/>
              <w:t>Out</w:t>
            </w:r>
            <w:r>
              <w:rPr>
                <w:rFonts w:ascii="Calibri" w:eastAsia="SimSun" w:hAnsi="Calibri" w:cs="Times New Roman"/>
                <w:bCs/>
                <w:sz w:val="18"/>
                <w:szCs w:val="18"/>
                <w:lang w:val="en-US"/>
              </w:rPr>
              <w:t>put</w:t>
            </w:r>
            <w:r w:rsidRPr="00EA420E">
              <w:rPr>
                <w:rFonts w:ascii="Calibri" w:eastAsia="SimSun" w:hAnsi="Calibri" w:cs="Times New Roman"/>
                <w:bCs/>
                <w:sz w:val="18"/>
                <w:szCs w:val="18"/>
                <w:lang w:val="en-US"/>
              </w:rPr>
              <w:t xml:space="preserve"> </w:t>
            </w:r>
            <w:r w:rsidR="00EA420E" w:rsidRPr="00EA420E">
              <w:rPr>
                <w:rFonts w:ascii="Calibri" w:eastAsia="SimSun" w:hAnsi="Calibri" w:cs="Times New Roman"/>
                <w:bCs/>
                <w:sz w:val="18"/>
                <w:szCs w:val="18"/>
                <w:lang w:val="en-US"/>
              </w:rPr>
              <w:t>2.2.</w:t>
            </w:r>
            <w:r w:rsidR="00EA420E" w:rsidRPr="00EA420E">
              <w:rPr>
                <w:lang w:val="en-US"/>
              </w:rPr>
              <w:t xml:space="preserve"> </w:t>
            </w:r>
            <w:r w:rsidR="00EA420E" w:rsidRPr="00EA420E">
              <w:rPr>
                <w:rFonts w:ascii="Calibri" w:eastAsia="SimSun" w:hAnsi="Calibri" w:cs="Times New Roman"/>
                <w:bCs/>
                <w:sz w:val="18"/>
                <w:szCs w:val="18"/>
                <w:lang w:val="en-US"/>
              </w:rPr>
              <w:t>Strategies and policies for reducing emissions and releases of Hg assessed</w:t>
            </w:r>
          </w:p>
          <w:p w14:paraId="72217BA3" w14:textId="44109791" w:rsidR="00EA420E" w:rsidRPr="00EA420E" w:rsidRDefault="00EA420E" w:rsidP="00EA420E">
            <w:pPr>
              <w:spacing w:after="0" w:line="240" w:lineRule="auto"/>
              <w:rPr>
                <w:rFonts w:ascii="Calibri" w:eastAsia="SimSun" w:hAnsi="Calibri" w:cs="Times New Roman"/>
                <w:sz w:val="18"/>
                <w:szCs w:val="18"/>
                <w:lang w:val="en-US"/>
              </w:rPr>
            </w:pPr>
          </w:p>
        </w:tc>
        <w:tc>
          <w:tcPr>
            <w:tcW w:w="3595" w:type="dxa"/>
          </w:tcPr>
          <w:p w14:paraId="303AF369" w14:textId="77777777" w:rsidR="00EA420E" w:rsidRPr="00EA420E" w:rsidRDefault="00EA420E" w:rsidP="00EA420E">
            <w:pPr>
              <w:pStyle w:val="ListParagraph"/>
              <w:numPr>
                <w:ilvl w:val="0"/>
                <w:numId w:val="30"/>
              </w:numP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lastRenderedPageBreak/>
              <w:t>Number of types of local institutions engaged as a potential partner in the pilot study Mining school.</w:t>
            </w:r>
          </w:p>
          <w:p w14:paraId="6098E333" w14:textId="77777777" w:rsidR="00EA420E" w:rsidRPr="00EA420E" w:rsidRDefault="00EA420E" w:rsidP="00EA420E">
            <w:pPr>
              <w:pStyle w:val="ListParagraph"/>
              <w:numPr>
                <w:ilvl w:val="0"/>
                <w:numId w:val="30"/>
              </w:numP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Number of women and men introduced to the Mining school curriculum.</w:t>
            </w:r>
          </w:p>
          <w:p w14:paraId="09911EAB" w14:textId="77777777" w:rsidR="00F924B1" w:rsidRPr="00352803" w:rsidRDefault="00F924B1" w:rsidP="00352803">
            <w:pPr>
              <w:pStyle w:val="ListParagraph"/>
              <w:numPr>
                <w:ilvl w:val="0"/>
                <w:numId w:val="30"/>
              </w:numPr>
              <w:spacing w:after="0" w:line="271" w:lineRule="auto"/>
              <w:ind w:left="360"/>
              <w:rPr>
                <w:rFonts w:ascii="Times New Roman" w:eastAsia="SimSun" w:hAnsi="Times New Roman" w:cs="Times New Roman"/>
                <w:bCs/>
                <w:i/>
                <w:sz w:val="18"/>
                <w:szCs w:val="18"/>
                <w:lang w:val="en-US"/>
              </w:rPr>
            </w:pPr>
          </w:p>
        </w:tc>
        <w:tc>
          <w:tcPr>
            <w:tcW w:w="1665" w:type="dxa"/>
          </w:tcPr>
          <w:p w14:paraId="6481F0F8" w14:textId="77777777" w:rsidR="00EA420E" w:rsidRPr="00EA420E" w:rsidRDefault="00EA420E" w:rsidP="00EA420E">
            <w:pPr>
              <w:spacing w:after="0" w:line="271" w:lineRule="auto"/>
              <w:jc w:val="cente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Limited targeted awareness pieces</w:t>
            </w:r>
          </w:p>
          <w:p w14:paraId="68063C06" w14:textId="77777777" w:rsidR="00EA420E" w:rsidRPr="00EA420E" w:rsidRDefault="00EA420E" w:rsidP="00EA420E">
            <w:pPr>
              <w:spacing w:after="0" w:line="271" w:lineRule="auto"/>
              <w:jc w:val="center"/>
              <w:rPr>
                <w:rFonts w:ascii="Times New Roman" w:eastAsia="SimSun" w:hAnsi="Times New Roman" w:cs="Times New Roman"/>
                <w:bCs/>
                <w:i/>
                <w:sz w:val="18"/>
                <w:szCs w:val="18"/>
                <w:lang w:val="en-US"/>
              </w:rPr>
            </w:pPr>
          </w:p>
          <w:p w14:paraId="1F5242BE" w14:textId="52399B87" w:rsidR="00F924B1" w:rsidRPr="007B1223" w:rsidRDefault="00EA420E" w:rsidP="00EA420E">
            <w:pPr>
              <w:spacing w:after="0" w:line="271" w:lineRule="auto"/>
              <w:jc w:val="cente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No comprehensive approach on Hg issues exists</w:t>
            </w:r>
          </w:p>
        </w:tc>
        <w:tc>
          <w:tcPr>
            <w:tcW w:w="1913" w:type="dxa"/>
          </w:tcPr>
          <w:p w14:paraId="31D7247A" w14:textId="08874DD6" w:rsidR="00F924B1" w:rsidRPr="007B1223" w:rsidRDefault="00EA420E" w:rsidP="007B1223">
            <w:pPr>
              <w:spacing w:after="0" w:line="271" w:lineRule="auto"/>
              <w:jc w:val="cente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N/A</w:t>
            </w:r>
          </w:p>
        </w:tc>
        <w:tc>
          <w:tcPr>
            <w:tcW w:w="1795" w:type="dxa"/>
          </w:tcPr>
          <w:p w14:paraId="0D7FB144"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Mining school established.</w:t>
            </w:r>
          </w:p>
          <w:p w14:paraId="259F31AA" w14:textId="76C0482E" w:rsidR="00F924B1" w:rsidRPr="00D70677"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Formal platform determined.</w:t>
            </w:r>
          </w:p>
        </w:tc>
        <w:tc>
          <w:tcPr>
            <w:tcW w:w="2817" w:type="dxa"/>
          </w:tcPr>
          <w:p w14:paraId="3C903A32"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This is an Enabling Activity.</w:t>
            </w:r>
          </w:p>
          <w:p w14:paraId="04157300"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Information and key informants will be readily accessible.</w:t>
            </w:r>
          </w:p>
          <w:p w14:paraId="45E96A84"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High level interests and engagement from representatives of key ministries and stakeholder</w:t>
            </w:r>
          </w:p>
          <w:p w14:paraId="67411C53" w14:textId="26A8278A" w:rsidR="00F924B1" w:rsidRPr="007B1223"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groups</w:t>
            </w:r>
          </w:p>
        </w:tc>
      </w:tr>
      <w:tr w:rsidR="00EA420E" w:rsidRPr="00EA420E" w14:paraId="4DF2F40E" w14:textId="77777777" w:rsidTr="00181EC4">
        <w:trPr>
          <w:trHeight w:val="1538"/>
        </w:trPr>
        <w:tc>
          <w:tcPr>
            <w:tcW w:w="2605" w:type="dxa"/>
            <w:shd w:val="pct12" w:color="auto" w:fill="auto"/>
          </w:tcPr>
          <w:p w14:paraId="3A8708BE" w14:textId="497C1B5A" w:rsidR="00EA420E" w:rsidRPr="00EA420E" w:rsidRDefault="00EA420E" w:rsidP="00EA420E">
            <w:pPr>
              <w:spacing w:after="0" w:line="240" w:lineRule="auto"/>
              <w:rPr>
                <w:rFonts w:ascii="Calibri" w:eastAsia="SimSun" w:hAnsi="Calibri" w:cs="Times New Roman"/>
                <w:b/>
                <w:bCs/>
                <w:sz w:val="18"/>
                <w:szCs w:val="18"/>
                <w:lang w:val="en-US"/>
              </w:rPr>
            </w:pPr>
            <w:r w:rsidRPr="00EA420E">
              <w:rPr>
                <w:rFonts w:ascii="Calibri" w:eastAsia="SimSun" w:hAnsi="Calibri" w:cs="Times New Roman"/>
                <w:b/>
                <w:sz w:val="18"/>
                <w:szCs w:val="18"/>
                <w:lang w:val="en-US"/>
              </w:rPr>
              <w:t>Component 2.</w:t>
            </w:r>
            <w:r w:rsidRPr="00EA420E">
              <w:rPr>
                <w:rFonts w:ascii="Calibri" w:eastAsia="SimSun" w:hAnsi="Calibri" w:cs="Times New Roman"/>
                <w:b/>
                <w:sz w:val="18"/>
                <w:szCs w:val="18"/>
                <w:lang w:val="en-US"/>
              </w:rPr>
              <w:tab/>
            </w:r>
            <w:r w:rsidR="0014764F" w:rsidRPr="0014764F">
              <w:rPr>
                <w:rFonts w:ascii="Calibri" w:eastAsia="SimSun" w:hAnsi="Calibri" w:cs="Times New Roman"/>
                <w:b/>
                <w:sz w:val="18"/>
                <w:szCs w:val="18"/>
                <w:lang w:val="en-US"/>
              </w:rPr>
              <w:t>Strengthen institutional capacities and prepare National Action Plan (NAP), with agreed schedule to achieve the reduction of emissions and releases of, and exposure to, mercury in ASGM sector and processing, including mercury-free methods</w:t>
            </w:r>
            <w:r w:rsidRPr="00EA420E">
              <w:rPr>
                <w:rFonts w:ascii="Calibri" w:eastAsia="SimSun" w:hAnsi="Calibri" w:cs="Times New Roman"/>
                <w:b/>
                <w:sz w:val="18"/>
                <w:szCs w:val="18"/>
                <w:lang w:val="en-US"/>
              </w:rPr>
              <w:t>.</w:t>
            </w:r>
            <w:r w:rsidRPr="00EA420E">
              <w:rPr>
                <w:rFonts w:ascii="Calibri" w:eastAsia="SimSun" w:hAnsi="Calibri" w:cs="Times New Roman"/>
                <w:b/>
                <w:bCs/>
                <w:sz w:val="18"/>
                <w:szCs w:val="18"/>
                <w:lang w:val="en-US"/>
              </w:rPr>
              <w:t xml:space="preserve"> </w:t>
            </w:r>
          </w:p>
          <w:p w14:paraId="21E3977F" w14:textId="39323A5D" w:rsidR="00EA420E" w:rsidRDefault="0014764F" w:rsidP="00EA420E">
            <w:pPr>
              <w:spacing w:after="0" w:line="240" w:lineRule="auto"/>
              <w:rPr>
                <w:rFonts w:ascii="Calibri" w:eastAsia="SimSun" w:hAnsi="Calibri" w:cs="Times New Roman"/>
                <w:bCs/>
                <w:sz w:val="18"/>
                <w:szCs w:val="18"/>
                <w:lang w:val="en-US"/>
              </w:rPr>
            </w:pPr>
            <w:r w:rsidRPr="00EA420E">
              <w:rPr>
                <w:rFonts w:ascii="Calibri" w:eastAsia="SimSun" w:hAnsi="Calibri" w:cs="Times New Roman"/>
                <w:bCs/>
                <w:sz w:val="18"/>
                <w:szCs w:val="18"/>
                <w:lang w:val="en-US"/>
              </w:rPr>
              <w:t>Out</w:t>
            </w:r>
            <w:r>
              <w:rPr>
                <w:rFonts w:ascii="Calibri" w:eastAsia="SimSun" w:hAnsi="Calibri" w:cs="Times New Roman"/>
                <w:bCs/>
                <w:sz w:val="18"/>
                <w:szCs w:val="18"/>
                <w:lang w:val="en-US"/>
              </w:rPr>
              <w:t>put</w:t>
            </w:r>
            <w:r w:rsidRPr="00EA420E">
              <w:rPr>
                <w:rFonts w:ascii="Calibri" w:eastAsia="SimSun" w:hAnsi="Calibri" w:cs="Times New Roman"/>
                <w:bCs/>
                <w:sz w:val="18"/>
                <w:szCs w:val="18"/>
                <w:lang w:val="en-US"/>
              </w:rPr>
              <w:t xml:space="preserve"> </w:t>
            </w:r>
            <w:r w:rsidR="00EA420E" w:rsidRPr="00EA420E">
              <w:rPr>
                <w:rFonts w:ascii="Calibri" w:eastAsia="SimSun" w:hAnsi="Calibri" w:cs="Times New Roman"/>
                <w:bCs/>
                <w:sz w:val="18"/>
                <w:szCs w:val="18"/>
                <w:lang w:val="en-US"/>
              </w:rPr>
              <w:t>2.3. Technically available and economically feasible techniques and technologies that can replace the use of mercury assessed at global level.</w:t>
            </w:r>
          </w:p>
          <w:p w14:paraId="7A568836" w14:textId="0727EFE1" w:rsidR="00EA420E" w:rsidRPr="00EA420E" w:rsidRDefault="00EA420E" w:rsidP="00EA420E">
            <w:pPr>
              <w:spacing w:after="0" w:line="240" w:lineRule="auto"/>
              <w:rPr>
                <w:rFonts w:ascii="Calibri" w:eastAsia="SimSun" w:hAnsi="Calibri" w:cs="Times New Roman"/>
                <w:sz w:val="18"/>
                <w:szCs w:val="18"/>
                <w:lang w:val="en-US"/>
              </w:rPr>
            </w:pPr>
          </w:p>
        </w:tc>
        <w:tc>
          <w:tcPr>
            <w:tcW w:w="3595" w:type="dxa"/>
          </w:tcPr>
          <w:p w14:paraId="680AE212" w14:textId="77777777" w:rsidR="00EA420E" w:rsidRPr="00EA420E" w:rsidRDefault="00EA420E" w:rsidP="00EA420E">
            <w:pPr>
              <w:pStyle w:val="ListParagraph"/>
              <w:numPr>
                <w:ilvl w:val="0"/>
                <w:numId w:val="30"/>
              </w:numP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Number of existing methods and technologies used in the ASGM..</w:t>
            </w:r>
          </w:p>
          <w:p w14:paraId="64B47122" w14:textId="4A3D0487" w:rsidR="00EA420E" w:rsidRPr="00EA420E" w:rsidRDefault="00EA420E" w:rsidP="00EA420E">
            <w:pPr>
              <w:pStyle w:val="ListParagraph"/>
              <w:numPr>
                <w:ilvl w:val="0"/>
                <w:numId w:val="30"/>
              </w:numP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Number of feasible methods and technics to reduce/eliminate the use of HG in ASGM.</w:t>
            </w:r>
          </w:p>
        </w:tc>
        <w:tc>
          <w:tcPr>
            <w:tcW w:w="1665" w:type="dxa"/>
          </w:tcPr>
          <w:p w14:paraId="13D6FCB7" w14:textId="77777777" w:rsidR="00EA420E"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Limited targeted awareness pieces</w:t>
            </w:r>
          </w:p>
          <w:p w14:paraId="39A9A823" w14:textId="77777777" w:rsidR="00EA420E" w:rsidRDefault="00EA420E" w:rsidP="00EA420E">
            <w:pPr>
              <w:spacing w:after="0" w:line="271" w:lineRule="auto"/>
              <w:jc w:val="center"/>
              <w:rPr>
                <w:rFonts w:ascii="Times New Roman" w:eastAsia="SimSun" w:hAnsi="Times New Roman" w:cs="Times New Roman"/>
                <w:bCs/>
                <w:i/>
                <w:sz w:val="18"/>
                <w:szCs w:val="18"/>
                <w:lang w:val="en-US"/>
              </w:rPr>
            </w:pPr>
          </w:p>
          <w:p w14:paraId="79650661" w14:textId="3CA40E46" w:rsidR="00EA420E" w:rsidRPr="00EA420E" w:rsidRDefault="00EA420E"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N</w:t>
            </w:r>
            <w:r w:rsidRPr="008348D7">
              <w:rPr>
                <w:rFonts w:ascii="Times New Roman" w:eastAsia="SimSun" w:hAnsi="Times New Roman" w:cs="Times New Roman"/>
                <w:bCs/>
                <w:i/>
                <w:sz w:val="18"/>
                <w:szCs w:val="18"/>
                <w:lang w:val="en-US"/>
              </w:rPr>
              <w:t>o comprehensive approach on Hg issues exists</w:t>
            </w:r>
          </w:p>
        </w:tc>
        <w:tc>
          <w:tcPr>
            <w:tcW w:w="1913" w:type="dxa"/>
          </w:tcPr>
          <w:p w14:paraId="33B2C00F" w14:textId="7CC458CF" w:rsidR="00EA420E" w:rsidRPr="00EA420E"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 xml:space="preserve">N/A </w:t>
            </w:r>
          </w:p>
        </w:tc>
        <w:tc>
          <w:tcPr>
            <w:tcW w:w="1795" w:type="dxa"/>
          </w:tcPr>
          <w:p w14:paraId="1483A402"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Baseline assessment of existing methods and technologies in ASGM + recommendations on feasible methods and technologies available.</w:t>
            </w:r>
          </w:p>
          <w:p w14:paraId="6B7ECCFF"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p>
        </w:tc>
        <w:tc>
          <w:tcPr>
            <w:tcW w:w="2817" w:type="dxa"/>
          </w:tcPr>
          <w:p w14:paraId="37D0EA5F"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This is an Enabling Activity.</w:t>
            </w:r>
          </w:p>
          <w:p w14:paraId="64BC0DEF"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Information and key informants will be readily accessible.</w:t>
            </w:r>
          </w:p>
          <w:p w14:paraId="1D6F7859"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High level interests and engagement from representatives of key ministries and stakeholder</w:t>
            </w:r>
          </w:p>
          <w:p w14:paraId="7A8B52C3" w14:textId="58689EBC"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groups</w:t>
            </w:r>
          </w:p>
        </w:tc>
      </w:tr>
      <w:tr w:rsidR="00EA420E" w:rsidRPr="00EA420E" w14:paraId="3213F05B" w14:textId="77777777" w:rsidTr="00181EC4">
        <w:trPr>
          <w:trHeight w:val="1538"/>
        </w:trPr>
        <w:tc>
          <w:tcPr>
            <w:tcW w:w="2605" w:type="dxa"/>
            <w:shd w:val="pct12" w:color="auto" w:fill="auto"/>
          </w:tcPr>
          <w:p w14:paraId="61A7EDFC" w14:textId="56F5E67D" w:rsidR="00EA420E" w:rsidRPr="00EA420E" w:rsidRDefault="00EA420E" w:rsidP="00EA420E">
            <w:pPr>
              <w:spacing w:after="0" w:line="240" w:lineRule="auto"/>
              <w:rPr>
                <w:rFonts w:ascii="Calibri" w:eastAsia="SimSun" w:hAnsi="Calibri" w:cs="Times New Roman"/>
                <w:b/>
                <w:bCs/>
                <w:sz w:val="18"/>
                <w:szCs w:val="18"/>
                <w:lang w:val="en-US"/>
              </w:rPr>
            </w:pPr>
            <w:r w:rsidRPr="00EA420E">
              <w:rPr>
                <w:rFonts w:ascii="Calibri" w:eastAsia="SimSun" w:hAnsi="Calibri" w:cs="Times New Roman"/>
                <w:b/>
                <w:sz w:val="18"/>
                <w:szCs w:val="18"/>
                <w:lang w:val="en-US"/>
              </w:rPr>
              <w:t>Component 2.</w:t>
            </w:r>
            <w:r w:rsidRPr="00EA420E">
              <w:rPr>
                <w:rFonts w:ascii="Calibri" w:eastAsia="SimSun" w:hAnsi="Calibri" w:cs="Times New Roman"/>
                <w:b/>
                <w:sz w:val="18"/>
                <w:szCs w:val="18"/>
                <w:lang w:val="en-US"/>
              </w:rPr>
              <w:tab/>
            </w:r>
            <w:r w:rsidR="0014764F" w:rsidRPr="0014764F">
              <w:rPr>
                <w:rFonts w:ascii="Calibri" w:eastAsia="SimSun" w:hAnsi="Calibri" w:cs="Times New Roman"/>
                <w:b/>
                <w:sz w:val="18"/>
                <w:szCs w:val="18"/>
                <w:lang w:val="en-US"/>
              </w:rPr>
              <w:t>Strengthen institutional capacities and prepare National Action Plan (NAP), with agreed schedule to achieve the reduction of emissions and releases of, and exposure to, mercury in ASGM sector and processing, including mercury-free methods</w:t>
            </w:r>
            <w:r w:rsidRPr="00EA420E">
              <w:rPr>
                <w:rFonts w:ascii="Calibri" w:eastAsia="SimSun" w:hAnsi="Calibri" w:cs="Times New Roman"/>
                <w:b/>
                <w:sz w:val="18"/>
                <w:szCs w:val="18"/>
                <w:lang w:val="en-US"/>
              </w:rPr>
              <w:t>.</w:t>
            </w:r>
            <w:r w:rsidRPr="00EA420E">
              <w:rPr>
                <w:rFonts w:ascii="Calibri" w:eastAsia="SimSun" w:hAnsi="Calibri" w:cs="Times New Roman"/>
                <w:b/>
                <w:bCs/>
                <w:sz w:val="18"/>
                <w:szCs w:val="18"/>
                <w:lang w:val="en-US"/>
              </w:rPr>
              <w:t xml:space="preserve"> </w:t>
            </w:r>
          </w:p>
          <w:p w14:paraId="33379E8E" w14:textId="3298280C" w:rsidR="00EA420E" w:rsidRDefault="0014764F" w:rsidP="00EA420E">
            <w:pPr>
              <w:spacing w:after="0" w:line="240" w:lineRule="auto"/>
              <w:rPr>
                <w:rFonts w:ascii="Calibri" w:eastAsia="SimSun" w:hAnsi="Calibri" w:cs="Times New Roman"/>
                <w:bCs/>
                <w:sz w:val="18"/>
                <w:szCs w:val="18"/>
                <w:lang w:val="en-US"/>
              </w:rPr>
            </w:pPr>
            <w:r w:rsidRPr="00EA420E">
              <w:rPr>
                <w:rFonts w:ascii="Calibri" w:eastAsia="SimSun" w:hAnsi="Calibri" w:cs="Times New Roman"/>
                <w:bCs/>
                <w:sz w:val="18"/>
                <w:szCs w:val="18"/>
                <w:lang w:val="en-US"/>
              </w:rPr>
              <w:t>Out</w:t>
            </w:r>
            <w:r>
              <w:rPr>
                <w:rFonts w:ascii="Calibri" w:eastAsia="SimSun" w:hAnsi="Calibri" w:cs="Times New Roman"/>
                <w:bCs/>
                <w:sz w:val="18"/>
                <w:szCs w:val="18"/>
                <w:lang w:val="en-US"/>
              </w:rPr>
              <w:t>put</w:t>
            </w:r>
            <w:r w:rsidRPr="00EA420E">
              <w:rPr>
                <w:rFonts w:ascii="Calibri" w:eastAsia="SimSun" w:hAnsi="Calibri" w:cs="Times New Roman"/>
                <w:bCs/>
                <w:sz w:val="18"/>
                <w:szCs w:val="18"/>
                <w:lang w:val="en-US"/>
              </w:rPr>
              <w:t xml:space="preserve"> </w:t>
            </w:r>
            <w:r w:rsidR="00EA420E" w:rsidRPr="00EA420E">
              <w:rPr>
                <w:rFonts w:ascii="Calibri" w:eastAsia="SimSun" w:hAnsi="Calibri" w:cs="Times New Roman"/>
                <w:bCs/>
                <w:sz w:val="18"/>
                <w:szCs w:val="18"/>
                <w:lang w:val="en-US"/>
              </w:rPr>
              <w:t>2.</w:t>
            </w:r>
            <w:r w:rsidR="00EA420E">
              <w:rPr>
                <w:rFonts w:ascii="Calibri" w:eastAsia="SimSun" w:hAnsi="Calibri" w:cs="Times New Roman"/>
                <w:bCs/>
                <w:sz w:val="18"/>
                <w:szCs w:val="18"/>
                <w:lang w:val="en-US"/>
              </w:rPr>
              <w:t>4</w:t>
            </w:r>
            <w:r w:rsidR="00EA420E" w:rsidRPr="00EA420E">
              <w:rPr>
                <w:rFonts w:ascii="Calibri" w:eastAsia="SimSun" w:hAnsi="Calibri" w:cs="Times New Roman"/>
                <w:bCs/>
                <w:sz w:val="18"/>
                <w:szCs w:val="18"/>
                <w:lang w:val="en-US"/>
              </w:rPr>
              <w:t>. Public consultation and awareness systems on Hg risks on exposure established, including actions to prevent vulnerable public exposure, especially low income populations, children and women.</w:t>
            </w:r>
          </w:p>
          <w:p w14:paraId="6D71A289" w14:textId="2E6FFF09" w:rsidR="00EA420E" w:rsidRPr="00EA420E" w:rsidRDefault="00EA420E" w:rsidP="00EA420E">
            <w:pPr>
              <w:spacing w:after="0" w:line="240" w:lineRule="auto"/>
              <w:rPr>
                <w:rFonts w:ascii="Calibri" w:eastAsia="SimSun" w:hAnsi="Calibri" w:cs="Times New Roman"/>
                <w:sz w:val="18"/>
                <w:szCs w:val="18"/>
                <w:lang w:val="en-US"/>
              </w:rPr>
            </w:pPr>
          </w:p>
        </w:tc>
        <w:tc>
          <w:tcPr>
            <w:tcW w:w="3595" w:type="dxa"/>
          </w:tcPr>
          <w:p w14:paraId="3B7561E6" w14:textId="49430CD8" w:rsidR="00EA420E" w:rsidRPr="00EA420E" w:rsidRDefault="00EA420E" w:rsidP="00EA420E">
            <w:pPr>
              <w:pStyle w:val="ListParagraph"/>
              <w:numPr>
                <w:ilvl w:val="0"/>
                <w:numId w:val="30"/>
              </w:numP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Number of recommendations in the public health strategy with special focus on vulnerable populations, such as women and children.</w:t>
            </w:r>
          </w:p>
        </w:tc>
        <w:tc>
          <w:tcPr>
            <w:tcW w:w="1665" w:type="dxa"/>
          </w:tcPr>
          <w:p w14:paraId="3D85F2DD" w14:textId="77777777" w:rsidR="00EA420E" w:rsidRPr="00EA420E" w:rsidRDefault="00EA420E" w:rsidP="00EA420E">
            <w:pPr>
              <w:spacing w:after="0" w:line="271" w:lineRule="auto"/>
              <w:jc w:val="cente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Limited targeted awareness pieces</w:t>
            </w:r>
          </w:p>
          <w:p w14:paraId="56C2E4AC" w14:textId="77777777" w:rsidR="00EA420E" w:rsidRPr="00EA420E" w:rsidRDefault="00EA420E" w:rsidP="00EA420E">
            <w:pPr>
              <w:spacing w:after="0" w:line="271" w:lineRule="auto"/>
              <w:jc w:val="center"/>
              <w:rPr>
                <w:rFonts w:ascii="Times New Roman" w:eastAsia="SimSun" w:hAnsi="Times New Roman" w:cs="Times New Roman"/>
                <w:bCs/>
                <w:i/>
                <w:sz w:val="18"/>
                <w:szCs w:val="18"/>
                <w:lang w:val="en-US"/>
              </w:rPr>
            </w:pPr>
          </w:p>
          <w:p w14:paraId="21397F69" w14:textId="0DCB72E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No comprehensive approach on Hg issues exists</w:t>
            </w:r>
          </w:p>
        </w:tc>
        <w:tc>
          <w:tcPr>
            <w:tcW w:w="1913" w:type="dxa"/>
          </w:tcPr>
          <w:p w14:paraId="35D9A43B" w14:textId="21F92ED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N/A</w:t>
            </w:r>
          </w:p>
        </w:tc>
        <w:tc>
          <w:tcPr>
            <w:tcW w:w="1795" w:type="dxa"/>
          </w:tcPr>
          <w:p w14:paraId="797E310A" w14:textId="37982316"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Public health strategy established.</w:t>
            </w:r>
          </w:p>
        </w:tc>
        <w:tc>
          <w:tcPr>
            <w:tcW w:w="2817" w:type="dxa"/>
          </w:tcPr>
          <w:p w14:paraId="2CC65DFD"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This is an Enabling Activity.</w:t>
            </w:r>
          </w:p>
          <w:p w14:paraId="511089C0"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Information and key informants will be readily accessible.</w:t>
            </w:r>
          </w:p>
          <w:p w14:paraId="02817899" w14:textId="77777777"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High level interests and engagement from representatives of key ministries and stakeholder</w:t>
            </w:r>
          </w:p>
          <w:p w14:paraId="792C4304" w14:textId="3BFC43FF" w:rsidR="00EA420E" w:rsidRPr="00EA420E" w:rsidRDefault="00EA420E" w:rsidP="00EA420E">
            <w:pPr>
              <w:spacing w:after="0" w:line="271" w:lineRule="auto"/>
              <w:rPr>
                <w:rFonts w:ascii="Times New Roman" w:eastAsia="SimSun" w:hAnsi="Times New Roman" w:cs="Times New Roman"/>
                <w:bCs/>
                <w:i/>
                <w:sz w:val="18"/>
                <w:szCs w:val="18"/>
                <w:lang w:val="en-US"/>
              </w:rPr>
            </w:pPr>
            <w:r w:rsidRPr="00EA420E">
              <w:rPr>
                <w:rFonts w:ascii="Times New Roman" w:eastAsia="SimSun" w:hAnsi="Times New Roman" w:cs="Times New Roman"/>
                <w:bCs/>
                <w:i/>
                <w:sz w:val="18"/>
                <w:szCs w:val="18"/>
                <w:lang w:val="en-US"/>
              </w:rPr>
              <w:t>groups</w:t>
            </w:r>
          </w:p>
        </w:tc>
      </w:tr>
      <w:tr w:rsidR="00EA420E" w:rsidRPr="00EE3E21" w14:paraId="6A7064A7" w14:textId="77777777" w:rsidTr="00181EC4">
        <w:trPr>
          <w:trHeight w:val="1538"/>
        </w:trPr>
        <w:tc>
          <w:tcPr>
            <w:tcW w:w="2605" w:type="dxa"/>
            <w:shd w:val="pct12" w:color="auto" w:fill="auto"/>
          </w:tcPr>
          <w:p w14:paraId="49CE058F" w14:textId="7FA8F31F" w:rsidR="00EA420E" w:rsidRDefault="00EA420E" w:rsidP="00EA420E">
            <w:pPr>
              <w:spacing w:after="0" w:line="240" w:lineRule="auto"/>
              <w:rPr>
                <w:rFonts w:ascii="Calibri" w:eastAsia="SimSun" w:hAnsi="Calibri" w:cs="Times New Roman"/>
                <w:b/>
                <w:sz w:val="18"/>
                <w:szCs w:val="18"/>
                <w:lang w:val="en-US"/>
              </w:rPr>
            </w:pPr>
            <w:r w:rsidRPr="004B7C46">
              <w:rPr>
                <w:rFonts w:ascii="Calibri" w:eastAsia="SimSun" w:hAnsi="Calibri" w:cs="Times New Roman"/>
                <w:b/>
                <w:sz w:val="18"/>
                <w:szCs w:val="18"/>
                <w:lang w:val="en-US"/>
              </w:rPr>
              <w:lastRenderedPageBreak/>
              <w:t xml:space="preserve">Component </w:t>
            </w:r>
            <w:r w:rsidR="0014764F">
              <w:rPr>
                <w:rFonts w:ascii="Calibri" w:eastAsia="SimSun" w:hAnsi="Calibri" w:cs="Times New Roman"/>
                <w:b/>
                <w:sz w:val="18"/>
                <w:szCs w:val="18"/>
                <w:lang w:val="en-US"/>
              </w:rPr>
              <w:t>2</w:t>
            </w:r>
            <w:r w:rsidRPr="004B7C46">
              <w:rPr>
                <w:rFonts w:ascii="Calibri" w:eastAsia="SimSun" w:hAnsi="Calibri" w:cs="Times New Roman"/>
                <w:b/>
                <w:sz w:val="18"/>
                <w:szCs w:val="18"/>
                <w:lang w:val="en-US"/>
              </w:rPr>
              <w:t>.</w:t>
            </w:r>
            <w:r w:rsidRPr="004B7C46">
              <w:rPr>
                <w:rFonts w:ascii="Calibri" w:eastAsia="SimSun" w:hAnsi="Calibri" w:cs="Times New Roman"/>
                <w:b/>
                <w:sz w:val="18"/>
                <w:szCs w:val="18"/>
                <w:lang w:val="en-US"/>
              </w:rPr>
              <w:tab/>
            </w:r>
            <w:r w:rsidR="0014764F" w:rsidRPr="0014764F">
              <w:rPr>
                <w:rFonts w:ascii="Calibri" w:eastAsia="SimSun" w:hAnsi="Calibri" w:cs="Times New Roman"/>
                <w:b/>
                <w:sz w:val="18"/>
                <w:szCs w:val="18"/>
                <w:lang w:val="en-US"/>
              </w:rPr>
              <w:t>Strengthen institutional capacities and prepare National Action Plan (NAP), with agreed schedule to achieve the reduction of emissions and releases of, and exposure to, mercury in ASGM sector and processing, including mercury-free methods</w:t>
            </w:r>
            <w:r>
              <w:rPr>
                <w:rFonts w:ascii="Calibri" w:eastAsia="SimSun" w:hAnsi="Calibri" w:cs="Times New Roman"/>
                <w:b/>
                <w:sz w:val="18"/>
                <w:szCs w:val="18"/>
                <w:lang w:val="en-US"/>
              </w:rPr>
              <w:t>.</w:t>
            </w:r>
          </w:p>
          <w:p w14:paraId="2193E9A8" w14:textId="5390FA03" w:rsidR="00EA420E" w:rsidRPr="00CE1305" w:rsidRDefault="00C82A14" w:rsidP="00EA420E">
            <w:pPr>
              <w:spacing w:after="0" w:line="240" w:lineRule="auto"/>
              <w:rPr>
                <w:rFonts w:ascii="Calibri" w:eastAsia="SimSun" w:hAnsi="Calibri" w:cs="Times New Roman"/>
                <w:sz w:val="18"/>
                <w:szCs w:val="18"/>
                <w:lang w:val="en-US"/>
              </w:rPr>
            </w:pPr>
            <w:r w:rsidRPr="00CE1305">
              <w:rPr>
                <w:rFonts w:ascii="Calibri" w:eastAsia="SimSun" w:hAnsi="Calibri" w:cs="Times New Roman"/>
                <w:sz w:val="18"/>
                <w:szCs w:val="18"/>
                <w:lang w:val="en-US"/>
              </w:rPr>
              <w:t>Out</w:t>
            </w:r>
            <w:r>
              <w:rPr>
                <w:rFonts w:ascii="Calibri" w:eastAsia="SimSun" w:hAnsi="Calibri" w:cs="Times New Roman"/>
                <w:sz w:val="18"/>
                <w:szCs w:val="18"/>
                <w:lang w:val="en-US"/>
              </w:rPr>
              <w:t>put</w:t>
            </w:r>
            <w:r w:rsidRPr="00CE1305">
              <w:rPr>
                <w:rFonts w:ascii="Calibri" w:eastAsia="SimSun" w:hAnsi="Calibri" w:cs="Times New Roman"/>
                <w:sz w:val="18"/>
                <w:szCs w:val="18"/>
                <w:lang w:val="en-US"/>
              </w:rPr>
              <w:t xml:space="preserve"> </w:t>
            </w:r>
            <w:r w:rsidR="0014764F">
              <w:rPr>
                <w:rFonts w:ascii="Calibri" w:eastAsia="SimSun" w:hAnsi="Calibri" w:cs="Times New Roman"/>
                <w:sz w:val="18"/>
                <w:szCs w:val="18"/>
                <w:lang w:val="en-US"/>
              </w:rPr>
              <w:t>2</w:t>
            </w:r>
            <w:r w:rsidR="00EA420E" w:rsidRPr="00CE1305">
              <w:rPr>
                <w:rFonts w:ascii="Calibri" w:eastAsia="SimSun" w:hAnsi="Calibri" w:cs="Times New Roman"/>
                <w:sz w:val="18"/>
                <w:szCs w:val="18"/>
                <w:lang w:val="en-US"/>
              </w:rPr>
              <w:t>.</w:t>
            </w:r>
            <w:r w:rsidR="0014764F">
              <w:rPr>
                <w:rFonts w:ascii="Calibri" w:eastAsia="SimSun" w:hAnsi="Calibri" w:cs="Times New Roman"/>
                <w:sz w:val="18"/>
                <w:szCs w:val="18"/>
                <w:lang w:val="en-US"/>
              </w:rPr>
              <w:t>5.</w:t>
            </w:r>
            <w:r w:rsidR="00EA420E" w:rsidRPr="00CE1305">
              <w:rPr>
                <w:rFonts w:ascii="Calibri" w:eastAsia="SimSun" w:hAnsi="Calibri" w:cs="Times New Roman"/>
                <w:sz w:val="18"/>
                <w:szCs w:val="18"/>
                <w:lang w:val="en-US"/>
              </w:rPr>
              <w:t xml:space="preserve"> National Action Plan prepared </w:t>
            </w:r>
          </w:p>
          <w:p w14:paraId="1666B867" w14:textId="55D84D37" w:rsidR="00EA420E" w:rsidRPr="007B1223" w:rsidRDefault="00EA420E" w:rsidP="00EA420E">
            <w:pPr>
              <w:spacing w:after="0" w:line="240" w:lineRule="auto"/>
              <w:rPr>
                <w:rFonts w:ascii="Times New Roman" w:eastAsia="SimSun" w:hAnsi="Times New Roman" w:cs="Times New Roman"/>
                <w:b/>
                <w:bCs/>
                <w:sz w:val="18"/>
                <w:szCs w:val="18"/>
                <w:lang w:val="en-US"/>
              </w:rPr>
            </w:pPr>
          </w:p>
        </w:tc>
        <w:tc>
          <w:tcPr>
            <w:tcW w:w="3595" w:type="dxa"/>
          </w:tcPr>
          <w:p w14:paraId="7DBCF6B2" w14:textId="7DA7D3C1" w:rsidR="00EA420E" w:rsidRPr="00352803" w:rsidRDefault="00EA420E" w:rsidP="00EA420E">
            <w:pPr>
              <w:pStyle w:val="ListParagraph"/>
              <w:numPr>
                <w:ilvl w:val="0"/>
                <w:numId w:val="33"/>
              </w:numPr>
              <w:spacing w:after="0" w:line="271" w:lineRule="auto"/>
              <w:rPr>
                <w:rFonts w:ascii="Times New Roman" w:eastAsia="SimSun" w:hAnsi="Times New Roman" w:cs="Times New Roman"/>
                <w:bCs/>
                <w:i/>
                <w:sz w:val="18"/>
                <w:szCs w:val="18"/>
                <w:lang w:val="en-US"/>
              </w:rPr>
            </w:pPr>
            <w:r w:rsidRPr="00352803">
              <w:rPr>
                <w:rFonts w:ascii="Times New Roman" w:eastAsia="SimSun" w:hAnsi="Times New Roman" w:cs="Times New Roman"/>
                <w:bCs/>
                <w:i/>
                <w:sz w:val="18"/>
                <w:szCs w:val="18"/>
                <w:lang w:val="en-US"/>
              </w:rPr>
              <w:t>National Action Plan in the ASGM sector finalized and approved by GoS.</w:t>
            </w:r>
          </w:p>
        </w:tc>
        <w:tc>
          <w:tcPr>
            <w:tcW w:w="1665" w:type="dxa"/>
          </w:tcPr>
          <w:p w14:paraId="5550FC1B" w14:textId="622CEDF3"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No National Action Plan available</w:t>
            </w:r>
          </w:p>
        </w:tc>
        <w:tc>
          <w:tcPr>
            <w:tcW w:w="1913" w:type="dxa"/>
          </w:tcPr>
          <w:p w14:paraId="1EE471F3" w14:textId="7777777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N/A</w:t>
            </w:r>
          </w:p>
        </w:tc>
        <w:tc>
          <w:tcPr>
            <w:tcW w:w="1795" w:type="dxa"/>
          </w:tcPr>
          <w:p w14:paraId="3CF43E76" w14:textId="7E00F8E4"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National</w:t>
            </w:r>
            <w:r w:rsidRPr="007B1223">
              <w:rPr>
                <w:rFonts w:ascii="Times New Roman" w:eastAsia="SimSun" w:hAnsi="Times New Roman" w:cs="Times New Roman"/>
                <w:bCs/>
                <w:i/>
                <w:sz w:val="18"/>
                <w:szCs w:val="18"/>
                <w:lang w:val="en-US"/>
              </w:rPr>
              <w:t xml:space="preserve"> Action Plan for the mainstreaming in the public policies developed with suggested policies </w:t>
            </w:r>
            <w:r>
              <w:rPr>
                <w:rFonts w:ascii="Times New Roman" w:eastAsia="SimSun" w:hAnsi="Times New Roman" w:cs="Times New Roman"/>
                <w:bCs/>
                <w:i/>
                <w:sz w:val="18"/>
                <w:szCs w:val="18"/>
                <w:lang w:val="en-US"/>
              </w:rPr>
              <w:t xml:space="preserve">and strategies </w:t>
            </w:r>
            <w:r w:rsidRPr="007B1223">
              <w:rPr>
                <w:rFonts w:ascii="Times New Roman" w:eastAsia="SimSun" w:hAnsi="Times New Roman" w:cs="Times New Roman"/>
                <w:bCs/>
                <w:i/>
                <w:sz w:val="18"/>
                <w:szCs w:val="18"/>
                <w:lang w:val="en-US"/>
              </w:rPr>
              <w:t>to be drafted.</w:t>
            </w:r>
          </w:p>
        </w:tc>
        <w:tc>
          <w:tcPr>
            <w:tcW w:w="2817" w:type="dxa"/>
          </w:tcPr>
          <w:p w14:paraId="2CDC4A78" w14:textId="5D1A6E77" w:rsidR="00EA420E" w:rsidRDefault="00EA420E" w:rsidP="00EA420E">
            <w:pPr>
              <w:spacing w:after="0" w:line="271" w:lineRule="auto"/>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This is an Enabling Activity</w:t>
            </w:r>
            <w:r>
              <w:rPr>
                <w:rFonts w:ascii="Times New Roman" w:eastAsia="SimSun" w:hAnsi="Times New Roman" w:cs="Times New Roman"/>
                <w:bCs/>
                <w:i/>
                <w:sz w:val="18"/>
                <w:szCs w:val="18"/>
                <w:lang w:val="en-US"/>
              </w:rPr>
              <w:t>.</w:t>
            </w:r>
          </w:p>
          <w:p w14:paraId="010CFDC7" w14:textId="3F14A62C" w:rsidR="00EA420E" w:rsidRPr="007B1223" w:rsidRDefault="00EA420E" w:rsidP="00EA420E">
            <w:pPr>
              <w:spacing w:after="0" w:line="271" w:lineRule="auto"/>
              <w:rPr>
                <w:rFonts w:ascii="Times New Roman" w:eastAsia="SimSun" w:hAnsi="Times New Roman" w:cs="Times New Roman"/>
                <w:bCs/>
                <w:i/>
                <w:sz w:val="18"/>
                <w:szCs w:val="18"/>
                <w:lang w:val="en-US"/>
              </w:rPr>
            </w:pPr>
            <w:r w:rsidRPr="00F82F21">
              <w:rPr>
                <w:rFonts w:ascii="Times New Roman" w:eastAsia="SimSun" w:hAnsi="Times New Roman" w:cs="Times New Roman"/>
                <w:bCs/>
                <w:i/>
                <w:sz w:val="18"/>
                <w:szCs w:val="18"/>
                <w:lang w:val="en-US"/>
              </w:rPr>
              <w:t>Relevant stakeholders remain</w:t>
            </w:r>
            <w:r>
              <w:rPr>
                <w:rFonts w:ascii="Times New Roman" w:eastAsia="SimSun" w:hAnsi="Times New Roman" w:cs="Times New Roman"/>
                <w:bCs/>
                <w:i/>
                <w:sz w:val="18"/>
                <w:szCs w:val="18"/>
                <w:lang w:val="en-US"/>
              </w:rPr>
              <w:t xml:space="preserve"> </w:t>
            </w:r>
            <w:r w:rsidRPr="00F82F21">
              <w:rPr>
                <w:rFonts w:ascii="Times New Roman" w:eastAsia="SimSun" w:hAnsi="Times New Roman" w:cs="Times New Roman"/>
                <w:bCs/>
                <w:i/>
                <w:sz w:val="18"/>
                <w:szCs w:val="18"/>
                <w:lang w:val="en-US"/>
              </w:rPr>
              <w:t>interested and engaged in the</w:t>
            </w:r>
            <w:r>
              <w:rPr>
                <w:rFonts w:ascii="Times New Roman" w:eastAsia="SimSun" w:hAnsi="Times New Roman" w:cs="Times New Roman"/>
                <w:bCs/>
                <w:i/>
                <w:sz w:val="18"/>
                <w:szCs w:val="18"/>
                <w:lang w:val="en-US"/>
              </w:rPr>
              <w:t xml:space="preserve"> </w:t>
            </w:r>
            <w:r w:rsidRPr="00F82F21">
              <w:rPr>
                <w:rFonts w:ascii="Times New Roman" w:eastAsia="SimSun" w:hAnsi="Times New Roman" w:cs="Times New Roman"/>
                <w:bCs/>
                <w:i/>
                <w:sz w:val="18"/>
                <w:szCs w:val="18"/>
                <w:lang w:val="en-US"/>
              </w:rPr>
              <w:t>project</w:t>
            </w:r>
            <w:r>
              <w:rPr>
                <w:rFonts w:ascii="Times New Roman" w:eastAsia="SimSun" w:hAnsi="Times New Roman" w:cs="Times New Roman"/>
                <w:bCs/>
                <w:i/>
                <w:sz w:val="18"/>
                <w:szCs w:val="18"/>
                <w:lang w:val="en-US"/>
              </w:rPr>
              <w:t>.</w:t>
            </w:r>
          </w:p>
        </w:tc>
      </w:tr>
      <w:tr w:rsidR="00EA420E" w:rsidRPr="007B1223" w14:paraId="18839DA6" w14:textId="77777777" w:rsidTr="00181EC4">
        <w:trPr>
          <w:trHeight w:val="1538"/>
        </w:trPr>
        <w:tc>
          <w:tcPr>
            <w:tcW w:w="2605" w:type="dxa"/>
            <w:shd w:val="pct12" w:color="auto" w:fill="auto"/>
          </w:tcPr>
          <w:p w14:paraId="7030CC6F" w14:textId="4EC28361" w:rsidR="00EA420E" w:rsidRDefault="00EA420E" w:rsidP="00EA420E">
            <w:pPr>
              <w:spacing w:after="0" w:line="240" w:lineRule="auto"/>
              <w:ind w:left="-23"/>
              <w:rPr>
                <w:rFonts w:ascii="Calibri" w:eastAsia="Calibri" w:hAnsi="Calibri" w:cs="Times New Roman"/>
                <w:b/>
                <w:sz w:val="18"/>
                <w:szCs w:val="18"/>
                <w:lang w:val="en-US"/>
              </w:rPr>
            </w:pPr>
            <w:r w:rsidRPr="004B7C46">
              <w:rPr>
                <w:rFonts w:ascii="Calibri" w:eastAsia="Calibri" w:hAnsi="Calibri" w:cs="Times New Roman"/>
                <w:b/>
                <w:sz w:val="18"/>
                <w:szCs w:val="18"/>
                <w:lang w:val="en-US"/>
              </w:rPr>
              <w:t xml:space="preserve">Component </w:t>
            </w:r>
            <w:r w:rsidR="0014764F">
              <w:rPr>
                <w:rFonts w:ascii="Calibri" w:eastAsia="Calibri" w:hAnsi="Calibri" w:cs="Times New Roman"/>
                <w:b/>
                <w:sz w:val="18"/>
                <w:szCs w:val="18"/>
                <w:lang w:val="en-US"/>
              </w:rPr>
              <w:t>2</w:t>
            </w:r>
            <w:r w:rsidRPr="004B7C46">
              <w:rPr>
                <w:rFonts w:ascii="Calibri" w:eastAsia="Calibri" w:hAnsi="Calibri" w:cs="Times New Roman"/>
                <w:b/>
                <w:sz w:val="18"/>
                <w:szCs w:val="18"/>
                <w:lang w:val="en-US"/>
              </w:rPr>
              <w:t>.</w:t>
            </w:r>
            <w:r w:rsidRPr="004B7C46">
              <w:rPr>
                <w:rFonts w:ascii="Calibri" w:eastAsia="Calibri" w:hAnsi="Calibri" w:cs="Times New Roman"/>
                <w:b/>
                <w:sz w:val="18"/>
                <w:szCs w:val="18"/>
                <w:lang w:val="en-US"/>
              </w:rPr>
              <w:tab/>
            </w:r>
            <w:r w:rsidR="0014764F" w:rsidRPr="0014764F">
              <w:rPr>
                <w:rFonts w:ascii="Calibri" w:eastAsia="Calibri" w:hAnsi="Calibri" w:cs="Times New Roman"/>
                <w:b/>
                <w:sz w:val="18"/>
                <w:szCs w:val="18"/>
                <w:lang w:val="en-US"/>
              </w:rPr>
              <w:t>Strengthen institutional capacities and prepare National Action Plan (NAP), with agreed schedule to achieve the reduction of emissions and releases of, and exposure to, mercury in ASGM sector and processing, including mercury-free methods</w:t>
            </w:r>
            <w:r w:rsidRPr="004B7C46">
              <w:rPr>
                <w:rFonts w:ascii="Calibri" w:eastAsia="Calibri" w:hAnsi="Calibri" w:cs="Times New Roman"/>
                <w:b/>
                <w:sz w:val="18"/>
                <w:szCs w:val="18"/>
                <w:lang w:val="en-US"/>
              </w:rPr>
              <w:t>.</w:t>
            </w:r>
          </w:p>
          <w:p w14:paraId="40BC2AC6" w14:textId="7BD41629" w:rsidR="00EA420E" w:rsidRPr="00181EC4" w:rsidRDefault="00C82A14" w:rsidP="00EA420E">
            <w:pPr>
              <w:spacing w:after="0" w:line="240" w:lineRule="auto"/>
              <w:ind w:left="-23"/>
              <w:rPr>
                <w:rFonts w:ascii="Times New Roman" w:eastAsia="SimSun" w:hAnsi="Times New Roman" w:cs="Times New Roman"/>
                <w:b/>
                <w:bCs/>
                <w:sz w:val="18"/>
                <w:szCs w:val="18"/>
                <w:lang w:val="en-US"/>
              </w:rPr>
            </w:pPr>
            <w:r w:rsidRPr="00181EC4">
              <w:rPr>
                <w:rFonts w:ascii="Calibri" w:eastAsia="SimSun" w:hAnsi="Calibri" w:cs="Times New Roman"/>
                <w:sz w:val="18"/>
                <w:szCs w:val="18"/>
                <w:lang w:val="en-US"/>
              </w:rPr>
              <w:t>Out</w:t>
            </w:r>
            <w:r>
              <w:rPr>
                <w:rFonts w:ascii="Calibri" w:eastAsia="SimSun" w:hAnsi="Calibri" w:cs="Times New Roman"/>
                <w:sz w:val="18"/>
                <w:szCs w:val="18"/>
                <w:lang w:val="en-US"/>
              </w:rPr>
              <w:t>put</w:t>
            </w:r>
            <w:r w:rsidRPr="00181EC4">
              <w:rPr>
                <w:rFonts w:ascii="Calibri" w:eastAsia="SimSun" w:hAnsi="Calibri" w:cs="Times New Roman"/>
                <w:sz w:val="18"/>
                <w:szCs w:val="18"/>
                <w:lang w:val="en-US"/>
              </w:rPr>
              <w:t xml:space="preserve"> </w:t>
            </w:r>
            <w:r w:rsidR="0014764F">
              <w:rPr>
                <w:rFonts w:ascii="Calibri" w:eastAsia="SimSun" w:hAnsi="Calibri" w:cs="Times New Roman"/>
                <w:sz w:val="18"/>
                <w:szCs w:val="18"/>
                <w:lang w:val="en-US"/>
              </w:rPr>
              <w:t>2</w:t>
            </w:r>
            <w:r w:rsidR="00EA420E" w:rsidRPr="00181EC4">
              <w:rPr>
                <w:rFonts w:ascii="Calibri" w:eastAsia="SimSun" w:hAnsi="Calibri" w:cs="Times New Roman"/>
                <w:sz w:val="18"/>
                <w:szCs w:val="18"/>
                <w:lang w:val="en-US"/>
              </w:rPr>
              <w:t>.</w:t>
            </w:r>
            <w:r w:rsidR="0014764F">
              <w:rPr>
                <w:rFonts w:ascii="Calibri" w:eastAsia="SimSun" w:hAnsi="Calibri" w:cs="Times New Roman"/>
                <w:sz w:val="18"/>
                <w:szCs w:val="18"/>
                <w:lang w:val="en-US"/>
              </w:rPr>
              <w:t>6.</w:t>
            </w:r>
            <w:r w:rsidR="00EA420E" w:rsidRPr="00181EC4">
              <w:rPr>
                <w:rFonts w:ascii="Calibri" w:eastAsia="SimSun" w:hAnsi="Calibri" w:cs="Times New Roman"/>
                <w:sz w:val="18"/>
                <w:szCs w:val="18"/>
                <w:lang w:val="en-US"/>
              </w:rPr>
              <w:t xml:space="preserve">  Schedule for the NAP implementation in Suriname made available</w:t>
            </w:r>
            <w:r w:rsidR="00EA420E">
              <w:rPr>
                <w:rFonts w:ascii="Calibri" w:eastAsia="SimSun" w:hAnsi="Calibri" w:cs="Times New Roman"/>
                <w:sz w:val="18"/>
                <w:szCs w:val="18"/>
                <w:lang w:val="en-US"/>
              </w:rPr>
              <w:t>.</w:t>
            </w:r>
          </w:p>
        </w:tc>
        <w:tc>
          <w:tcPr>
            <w:tcW w:w="3595" w:type="dxa"/>
          </w:tcPr>
          <w:p w14:paraId="0DC1CE5E" w14:textId="065945BB" w:rsidR="00EA420E" w:rsidRPr="00352803" w:rsidRDefault="00EA420E" w:rsidP="00EA420E">
            <w:pPr>
              <w:pStyle w:val="ListParagraph"/>
              <w:numPr>
                <w:ilvl w:val="0"/>
                <w:numId w:val="33"/>
              </w:numPr>
              <w:spacing w:after="0" w:line="271" w:lineRule="auto"/>
              <w:rPr>
                <w:rFonts w:ascii="Times New Roman" w:eastAsia="SimSun" w:hAnsi="Times New Roman" w:cs="Times New Roman"/>
                <w:bCs/>
                <w:i/>
                <w:sz w:val="18"/>
                <w:szCs w:val="18"/>
                <w:lang w:val="en-US"/>
              </w:rPr>
            </w:pPr>
            <w:r w:rsidRPr="00352803">
              <w:rPr>
                <w:rFonts w:ascii="Times New Roman" w:eastAsia="SimSun" w:hAnsi="Times New Roman" w:cs="Times New Roman"/>
                <w:bCs/>
                <w:i/>
                <w:sz w:val="18"/>
                <w:szCs w:val="18"/>
                <w:lang w:val="en-US"/>
              </w:rPr>
              <w:t>Implementing schedule developed.</w:t>
            </w:r>
          </w:p>
        </w:tc>
        <w:tc>
          <w:tcPr>
            <w:tcW w:w="1665" w:type="dxa"/>
          </w:tcPr>
          <w:p w14:paraId="5F1696DB" w14:textId="0352E1FB"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No experience with specific actions.</w:t>
            </w:r>
          </w:p>
        </w:tc>
        <w:tc>
          <w:tcPr>
            <w:tcW w:w="1913" w:type="dxa"/>
          </w:tcPr>
          <w:p w14:paraId="00A63DEF" w14:textId="7777777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N/A</w:t>
            </w:r>
          </w:p>
        </w:tc>
        <w:tc>
          <w:tcPr>
            <w:tcW w:w="1795" w:type="dxa"/>
          </w:tcPr>
          <w:p w14:paraId="04A29C4C" w14:textId="0AFAD16D"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Implementing schedule is available.</w:t>
            </w:r>
          </w:p>
        </w:tc>
        <w:tc>
          <w:tcPr>
            <w:tcW w:w="2817" w:type="dxa"/>
          </w:tcPr>
          <w:p w14:paraId="46B967FB" w14:textId="77777777" w:rsidR="00EA420E" w:rsidRDefault="00EA420E" w:rsidP="00EA420E">
            <w:pPr>
              <w:spacing w:after="0" w:line="271" w:lineRule="auto"/>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This is an Enabling Activity</w:t>
            </w:r>
            <w:r>
              <w:rPr>
                <w:rFonts w:ascii="Times New Roman" w:eastAsia="SimSun" w:hAnsi="Times New Roman" w:cs="Times New Roman"/>
                <w:bCs/>
                <w:i/>
                <w:sz w:val="18"/>
                <w:szCs w:val="18"/>
                <w:lang w:val="en-US"/>
              </w:rPr>
              <w:t>.</w:t>
            </w:r>
          </w:p>
          <w:p w14:paraId="2A64099A" w14:textId="77777777" w:rsidR="00EA420E" w:rsidRPr="00F82F21" w:rsidRDefault="00EA420E" w:rsidP="00EA420E">
            <w:pPr>
              <w:spacing w:after="0" w:line="271" w:lineRule="auto"/>
              <w:rPr>
                <w:rFonts w:ascii="Times New Roman" w:eastAsia="SimSun" w:hAnsi="Times New Roman" w:cs="Times New Roman"/>
                <w:bCs/>
                <w:i/>
                <w:sz w:val="18"/>
                <w:szCs w:val="18"/>
                <w:lang w:val="en-US"/>
              </w:rPr>
            </w:pPr>
            <w:r w:rsidRPr="00F82F21">
              <w:rPr>
                <w:rFonts w:ascii="Times New Roman" w:eastAsia="SimSun" w:hAnsi="Times New Roman" w:cs="Times New Roman"/>
                <w:bCs/>
                <w:i/>
                <w:sz w:val="18"/>
                <w:szCs w:val="18"/>
                <w:lang w:val="en-US"/>
              </w:rPr>
              <w:t>Relevant stakeholders remain</w:t>
            </w:r>
          </w:p>
          <w:p w14:paraId="5AD12AFE" w14:textId="77777777" w:rsidR="00EA420E" w:rsidRPr="00F82F21" w:rsidRDefault="00EA420E" w:rsidP="00EA420E">
            <w:pPr>
              <w:spacing w:after="0" w:line="271" w:lineRule="auto"/>
              <w:rPr>
                <w:rFonts w:ascii="Times New Roman" w:eastAsia="SimSun" w:hAnsi="Times New Roman" w:cs="Times New Roman"/>
                <w:bCs/>
                <w:i/>
                <w:sz w:val="18"/>
                <w:szCs w:val="18"/>
                <w:lang w:val="en-US"/>
              </w:rPr>
            </w:pPr>
            <w:r w:rsidRPr="00F82F21">
              <w:rPr>
                <w:rFonts w:ascii="Times New Roman" w:eastAsia="SimSun" w:hAnsi="Times New Roman" w:cs="Times New Roman"/>
                <w:bCs/>
                <w:i/>
                <w:sz w:val="18"/>
                <w:szCs w:val="18"/>
                <w:lang w:val="en-US"/>
              </w:rPr>
              <w:t>interested and engaged in the</w:t>
            </w:r>
          </w:p>
          <w:p w14:paraId="6D52B200" w14:textId="256B2825" w:rsidR="00EA420E" w:rsidRPr="007B1223" w:rsidRDefault="00EA420E" w:rsidP="00EA420E">
            <w:pPr>
              <w:spacing w:after="0" w:line="271" w:lineRule="auto"/>
              <w:rPr>
                <w:rFonts w:ascii="Times New Roman" w:eastAsia="SimSun" w:hAnsi="Times New Roman" w:cs="Times New Roman"/>
                <w:bCs/>
                <w:i/>
                <w:sz w:val="18"/>
                <w:szCs w:val="18"/>
                <w:lang w:val="en-US"/>
              </w:rPr>
            </w:pPr>
            <w:r w:rsidRPr="00F82F21">
              <w:rPr>
                <w:rFonts w:ascii="Times New Roman" w:eastAsia="SimSun" w:hAnsi="Times New Roman" w:cs="Times New Roman"/>
                <w:bCs/>
                <w:i/>
                <w:sz w:val="18"/>
                <w:szCs w:val="18"/>
                <w:lang w:val="en-US"/>
              </w:rPr>
              <w:t>project</w:t>
            </w:r>
          </w:p>
        </w:tc>
      </w:tr>
      <w:tr w:rsidR="00EA420E" w:rsidRPr="00EE3E21" w14:paraId="1134A717" w14:textId="77777777" w:rsidTr="00181EC4">
        <w:trPr>
          <w:trHeight w:val="1190"/>
        </w:trPr>
        <w:tc>
          <w:tcPr>
            <w:tcW w:w="2605" w:type="dxa"/>
            <w:shd w:val="pct12" w:color="auto" w:fill="auto"/>
          </w:tcPr>
          <w:p w14:paraId="720BF540" w14:textId="12631144" w:rsidR="00EA420E" w:rsidRPr="00A65C68" w:rsidRDefault="00EA420E" w:rsidP="00EA420E">
            <w:pPr>
              <w:spacing w:after="0" w:line="240" w:lineRule="auto"/>
              <w:jc w:val="both"/>
              <w:rPr>
                <w:rFonts w:ascii="Calibri" w:eastAsia="SimSun" w:hAnsi="Calibri" w:cs="Times New Roman"/>
                <w:b/>
                <w:noProof/>
                <w:color w:val="000000"/>
                <w:sz w:val="18"/>
                <w:lang w:val="en-US"/>
              </w:rPr>
            </w:pPr>
            <w:r w:rsidRPr="00A65C68">
              <w:rPr>
                <w:rFonts w:ascii="Calibri" w:eastAsia="SimSun" w:hAnsi="Calibri" w:cs="Times New Roman"/>
                <w:b/>
                <w:noProof/>
                <w:color w:val="000000"/>
                <w:sz w:val="18"/>
                <w:lang w:val="en-US"/>
              </w:rPr>
              <w:t xml:space="preserve">Component </w:t>
            </w:r>
            <w:r w:rsidR="00C82A14">
              <w:rPr>
                <w:rFonts w:ascii="Calibri" w:eastAsia="SimSun" w:hAnsi="Calibri" w:cs="Times New Roman"/>
                <w:b/>
                <w:noProof/>
                <w:color w:val="000000"/>
                <w:sz w:val="18"/>
                <w:lang w:val="en-US"/>
              </w:rPr>
              <w:t>3</w:t>
            </w:r>
            <w:r w:rsidRPr="00A65C68">
              <w:rPr>
                <w:rFonts w:ascii="Calibri" w:eastAsia="SimSun" w:hAnsi="Calibri" w:cs="Times New Roman"/>
                <w:b/>
                <w:noProof/>
                <w:color w:val="000000"/>
                <w:sz w:val="18"/>
                <w:lang w:val="en-US"/>
              </w:rPr>
              <w:t xml:space="preserve">. </w:t>
            </w:r>
            <w:r>
              <w:rPr>
                <w:rFonts w:ascii="Calibri" w:eastAsia="SimSun" w:hAnsi="Calibri" w:cs="Times New Roman"/>
                <w:b/>
                <w:noProof/>
                <w:color w:val="000000"/>
                <w:sz w:val="18"/>
                <w:lang w:val="en-US"/>
              </w:rPr>
              <w:t xml:space="preserve">Knowledge management and </w:t>
            </w:r>
            <w:r w:rsidRPr="00A65C68">
              <w:rPr>
                <w:rFonts w:ascii="Calibri" w:eastAsia="SimSun" w:hAnsi="Calibri" w:cs="Times New Roman"/>
                <w:b/>
                <w:noProof/>
                <w:color w:val="000000"/>
                <w:sz w:val="18"/>
                <w:lang w:val="en-US"/>
              </w:rPr>
              <w:t xml:space="preserve">Monitoring </w:t>
            </w:r>
            <w:r>
              <w:rPr>
                <w:rFonts w:ascii="Calibri" w:eastAsia="SimSun" w:hAnsi="Calibri" w:cs="Times New Roman"/>
                <w:b/>
                <w:noProof/>
                <w:color w:val="000000"/>
                <w:sz w:val="18"/>
                <w:lang w:val="en-US"/>
              </w:rPr>
              <w:t>&amp;</w:t>
            </w:r>
            <w:r w:rsidRPr="00A65C68">
              <w:rPr>
                <w:rFonts w:ascii="Calibri" w:eastAsia="SimSun" w:hAnsi="Calibri" w:cs="Times New Roman"/>
                <w:b/>
                <w:noProof/>
                <w:color w:val="000000"/>
                <w:sz w:val="18"/>
                <w:lang w:val="en-US"/>
              </w:rPr>
              <w:t xml:space="preserve"> Evaluation</w:t>
            </w:r>
          </w:p>
          <w:p w14:paraId="4FCC8545" w14:textId="1DC7FE66" w:rsidR="00EA420E" w:rsidRPr="00C82A14" w:rsidRDefault="00C82A14" w:rsidP="00EA420E">
            <w:pPr>
              <w:spacing w:after="0" w:line="240" w:lineRule="auto"/>
              <w:rPr>
                <w:rFonts w:ascii="Times New Roman" w:eastAsia="SimSun" w:hAnsi="Times New Roman" w:cs="Times New Roman"/>
                <w:b/>
                <w:bCs/>
                <w:sz w:val="18"/>
                <w:szCs w:val="18"/>
                <w:lang w:val="en-US"/>
              </w:rPr>
            </w:pPr>
            <w:r w:rsidRPr="00C82A14">
              <w:rPr>
                <w:rFonts w:ascii="Calibri" w:eastAsia="SimSun" w:hAnsi="Calibri" w:cs="Times New Roman"/>
                <w:noProof/>
                <w:color w:val="000000"/>
                <w:sz w:val="18"/>
                <w:lang w:val="en-US"/>
              </w:rPr>
              <w:t>Output 3</w:t>
            </w:r>
            <w:r w:rsidR="00EA420E" w:rsidRPr="00C82A14">
              <w:rPr>
                <w:rFonts w:ascii="Calibri" w:eastAsia="SimSun" w:hAnsi="Calibri" w:cs="Times New Roman"/>
                <w:noProof/>
                <w:color w:val="000000"/>
                <w:sz w:val="18"/>
                <w:lang w:val="en-US"/>
              </w:rPr>
              <w:t xml:space="preserve">.1. </w:t>
            </w:r>
            <w:r w:rsidR="0014764F" w:rsidRPr="00C82A14">
              <w:rPr>
                <w:rFonts w:ascii="Calibri" w:eastAsia="SimSun" w:hAnsi="Calibri" w:cs="Times New Roman"/>
                <w:noProof/>
                <w:color w:val="000000"/>
                <w:sz w:val="18"/>
                <w:lang w:val="en-US"/>
              </w:rPr>
              <w:t xml:space="preserve">knowledge management, </w:t>
            </w:r>
            <w:r w:rsidR="00EA420E" w:rsidRPr="00C82A14">
              <w:rPr>
                <w:rFonts w:ascii="Calibri" w:eastAsia="SimSun" w:hAnsi="Calibri" w:cs="Times New Roman"/>
                <w:noProof/>
                <w:color w:val="000000"/>
                <w:sz w:val="18"/>
                <w:lang w:val="en-US"/>
              </w:rPr>
              <w:t>Project monitoring and evaluation implemented</w:t>
            </w:r>
          </w:p>
        </w:tc>
        <w:tc>
          <w:tcPr>
            <w:tcW w:w="3595" w:type="dxa"/>
          </w:tcPr>
          <w:p w14:paraId="74218CFE" w14:textId="51C5FFE8" w:rsidR="00EA420E" w:rsidRPr="00352803" w:rsidRDefault="0014764F" w:rsidP="00EA420E">
            <w:pPr>
              <w:pStyle w:val="ListParagraph"/>
              <w:numPr>
                <w:ilvl w:val="0"/>
                <w:numId w:val="33"/>
              </w:numPr>
              <w:spacing w:after="0" w:line="271" w:lineRule="auto"/>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 xml:space="preserve"># </w:t>
            </w:r>
            <w:r w:rsidRPr="00352803">
              <w:rPr>
                <w:rFonts w:ascii="Times New Roman" w:eastAsia="SimSun" w:hAnsi="Times New Roman" w:cs="Times New Roman"/>
                <w:bCs/>
                <w:i/>
                <w:sz w:val="18"/>
                <w:szCs w:val="18"/>
                <w:lang w:val="en-US"/>
              </w:rPr>
              <w:t xml:space="preserve"> </w:t>
            </w:r>
            <w:r w:rsidR="00EA420E" w:rsidRPr="00352803">
              <w:rPr>
                <w:rFonts w:ascii="Times New Roman" w:eastAsia="SimSun" w:hAnsi="Times New Roman" w:cs="Times New Roman"/>
                <w:bCs/>
                <w:i/>
                <w:sz w:val="18"/>
                <w:szCs w:val="18"/>
                <w:lang w:val="en-US"/>
              </w:rPr>
              <w:t xml:space="preserve">of </w:t>
            </w:r>
            <w:r>
              <w:rPr>
                <w:rFonts w:ascii="Times New Roman" w:eastAsia="SimSun" w:hAnsi="Times New Roman" w:cs="Times New Roman"/>
                <w:bCs/>
                <w:i/>
                <w:sz w:val="18"/>
                <w:szCs w:val="18"/>
                <w:lang w:val="en-US"/>
              </w:rPr>
              <w:t xml:space="preserve">human interest stories and learning events, # monitoring and </w:t>
            </w:r>
            <w:r w:rsidR="00EA420E" w:rsidRPr="00352803">
              <w:rPr>
                <w:rFonts w:ascii="Times New Roman" w:eastAsia="SimSun" w:hAnsi="Times New Roman" w:cs="Times New Roman"/>
                <w:bCs/>
                <w:i/>
                <w:sz w:val="18"/>
                <w:szCs w:val="18"/>
                <w:lang w:val="en-US"/>
              </w:rPr>
              <w:t>evaluation missions</w:t>
            </w:r>
          </w:p>
        </w:tc>
        <w:tc>
          <w:tcPr>
            <w:tcW w:w="1665" w:type="dxa"/>
          </w:tcPr>
          <w:p w14:paraId="462ADFD0" w14:textId="7777777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N/A</w:t>
            </w:r>
          </w:p>
        </w:tc>
        <w:tc>
          <w:tcPr>
            <w:tcW w:w="1913" w:type="dxa"/>
          </w:tcPr>
          <w:p w14:paraId="75D90BFF" w14:textId="7777777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N/A</w:t>
            </w:r>
          </w:p>
        </w:tc>
        <w:tc>
          <w:tcPr>
            <w:tcW w:w="1795" w:type="dxa"/>
          </w:tcPr>
          <w:p w14:paraId="6FD7AA72" w14:textId="426E1D41" w:rsidR="0014764F" w:rsidRDefault="0014764F"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Three human interest, four learning events,</w:t>
            </w:r>
          </w:p>
          <w:p w14:paraId="22AE22E2" w14:textId="33F73D3A"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Pr>
                <w:rFonts w:ascii="Times New Roman" w:eastAsia="SimSun" w:hAnsi="Times New Roman" w:cs="Times New Roman"/>
                <w:bCs/>
                <w:i/>
                <w:sz w:val="18"/>
                <w:szCs w:val="18"/>
                <w:lang w:val="en-US"/>
              </w:rPr>
              <w:t xml:space="preserve">Three </w:t>
            </w:r>
            <w:r w:rsidR="0014764F">
              <w:rPr>
                <w:rFonts w:ascii="Times New Roman" w:eastAsia="SimSun" w:hAnsi="Times New Roman" w:cs="Times New Roman"/>
                <w:bCs/>
                <w:i/>
                <w:sz w:val="18"/>
                <w:szCs w:val="18"/>
                <w:lang w:val="en-US"/>
              </w:rPr>
              <w:t>missions</w:t>
            </w:r>
            <w:r>
              <w:rPr>
                <w:rFonts w:ascii="Times New Roman" w:eastAsia="SimSun" w:hAnsi="Times New Roman" w:cs="Times New Roman"/>
                <w:bCs/>
                <w:i/>
                <w:sz w:val="18"/>
                <w:szCs w:val="18"/>
                <w:lang w:val="en-US"/>
              </w:rPr>
              <w:t xml:space="preserve"> </w:t>
            </w:r>
            <w:r w:rsidRPr="007B1223">
              <w:rPr>
                <w:rFonts w:ascii="Times New Roman" w:eastAsia="SimSun" w:hAnsi="Times New Roman" w:cs="Times New Roman"/>
                <w:bCs/>
                <w:i/>
                <w:sz w:val="18"/>
                <w:szCs w:val="18"/>
                <w:lang w:val="en-US"/>
              </w:rPr>
              <w:t>undertaken</w:t>
            </w:r>
          </w:p>
        </w:tc>
        <w:tc>
          <w:tcPr>
            <w:tcW w:w="2817" w:type="dxa"/>
          </w:tcPr>
          <w:p w14:paraId="0D7D0BA6" w14:textId="77777777" w:rsidR="00EA420E" w:rsidRPr="007B1223" w:rsidRDefault="00EA420E" w:rsidP="00EA420E">
            <w:pPr>
              <w:spacing w:after="0" w:line="271" w:lineRule="auto"/>
              <w:jc w:val="center"/>
              <w:rPr>
                <w:rFonts w:ascii="Times New Roman" w:eastAsia="SimSun" w:hAnsi="Times New Roman" w:cs="Times New Roman"/>
                <w:bCs/>
                <w:i/>
                <w:sz w:val="18"/>
                <w:szCs w:val="18"/>
                <w:lang w:val="en-US"/>
              </w:rPr>
            </w:pPr>
            <w:r w:rsidRPr="007B1223">
              <w:rPr>
                <w:rFonts w:ascii="Times New Roman" w:eastAsia="SimSun" w:hAnsi="Times New Roman" w:cs="Times New Roman"/>
                <w:bCs/>
                <w:i/>
                <w:sz w:val="18"/>
                <w:szCs w:val="18"/>
                <w:lang w:val="en-US"/>
              </w:rPr>
              <w:t>This is an Enabling Activity</w:t>
            </w:r>
          </w:p>
        </w:tc>
      </w:tr>
    </w:tbl>
    <w:p w14:paraId="2BFAD148" w14:textId="77777777" w:rsidR="007B1223" w:rsidRDefault="007B1223" w:rsidP="003222D4">
      <w:pPr>
        <w:rPr>
          <w:lang w:val="en-US"/>
        </w:rPr>
        <w:sectPr w:rsidR="007B1223" w:rsidSect="007B1223">
          <w:pgSz w:w="16838" w:h="11906" w:orient="landscape"/>
          <w:pgMar w:top="1418" w:right="1418" w:bottom="1418" w:left="1418" w:header="709" w:footer="709" w:gutter="0"/>
          <w:cols w:space="708"/>
          <w:docGrid w:linePitch="360"/>
        </w:sectPr>
      </w:pPr>
    </w:p>
    <w:p w14:paraId="503B8C46" w14:textId="77777777" w:rsidR="007B1223" w:rsidRPr="00364C06" w:rsidRDefault="007B1223" w:rsidP="00AA15F8">
      <w:pPr>
        <w:pStyle w:val="Heading1"/>
        <w:numPr>
          <w:ilvl w:val="0"/>
          <w:numId w:val="26"/>
        </w:numPr>
        <w:rPr>
          <w:lang w:val="en-US"/>
        </w:rPr>
      </w:pPr>
      <w:bookmarkStart w:id="19" w:name="_Toc487589374"/>
      <w:r w:rsidRPr="00364C06">
        <w:rPr>
          <w:lang w:val="en-US"/>
        </w:rPr>
        <w:lastRenderedPageBreak/>
        <w:t>Monitoring and Evaluation (M&amp;E) Plan</w:t>
      </w:r>
      <w:bookmarkEnd w:id="19"/>
    </w:p>
    <w:p w14:paraId="17814075" w14:textId="77777777" w:rsidR="007B1223" w:rsidRDefault="007B1223" w:rsidP="007B1223">
      <w:pPr>
        <w:spacing w:after="0" w:line="271" w:lineRule="auto"/>
        <w:jc w:val="both"/>
        <w:rPr>
          <w:rFonts w:ascii="Calibri" w:eastAsia="SimSun" w:hAnsi="Calibri" w:cs="Calibri"/>
          <w:i/>
          <w:lang w:val="en-US"/>
        </w:rPr>
      </w:pPr>
      <w:r w:rsidRPr="007B1223">
        <w:rPr>
          <w:rFonts w:ascii="Calibri" w:eastAsia="SimSun" w:hAnsi="Calibri" w:cs="Calibri"/>
          <w:lang w:val="en-US"/>
        </w:rPr>
        <w:t xml:space="preserve">The project results as outlined in the project results framework will be monitored annually and evaluated periodically during project implementation to ensure the project effectively achieves these results.  </w:t>
      </w:r>
      <w:r w:rsidRPr="007B1223">
        <w:rPr>
          <w:rFonts w:ascii="Calibri" w:eastAsia="SimSun" w:hAnsi="Calibri" w:cs="Calibri"/>
          <w:i/>
          <w:lang w:val="en-US"/>
        </w:rPr>
        <w:t>Supported by Component Four:  Knowledge Management and M&amp;E, the project monitoring and evaluation plan will also facilitate learning and ensure knowledge is shared and widely disseminated to support the scaling up and replication of project results.</w:t>
      </w:r>
    </w:p>
    <w:p w14:paraId="1A899934" w14:textId="77777777" w:rsidR="00D9650A" w:rsidRDefault="00D9650A" w:rsidP="007B1223">
      <w:pPr>
        <w:spacing w:after="0" w:line="271" w:lineRule="auto"/>
        <w:jc w:val="both"/>
        <w:rPr>
          <w:rFonts w:ascii="Calibri" w:eastAsia="SimSun" w:hAnsi="Calibri" w:cs="Calibri"/>
          <w:i/>
          <w:lang w:val="en-US"/>
        </w:rPr>
      </w:pPr>
    </w:p>
    <w:p w14:paraId="7152FD50" w14:textId="77777777" w:rsidR="00B02FC8" w:rsidRPr="00A65C68" w:rsidRDefault="00D9650A" w:rsidP="007B1223">
      <w:pPr>
        <w:spacing w:after="0" w:line="271" w:lineRule="auto"/>
        <w:jc w:val="both"/>
        <w:rPr>
          <w:rFonts w:ascii="Calibri" w:eastAsia="SimSun" w:hAnsi="Calibri" w:cs="Calibri"/>
          <w:lang w:val="en-US"/>
        </w:rPr>
      </w:pPr>
      <w:r w:rsidRPr="00A65C68">
        <w:rPr>
          <w:rFonts w:ascii="Calibri" w:eastAsia="SimSun" w:hAnsi="Calibri" w:cs="Calibri"/>
          <w:lang w:val="en-US"/>
        </w:rPr>
        <w:t>Monitoring and evaluation (M&amp;E) for this project will rely on several levels of review, quality control and feedback. Ov</w:t>
      </w:r>
      <w:r w:rsidR="00EF6A78" w:rsidRPr="00A65C68">
        <w:rPr>
          <w:rFonts w:ascii="Calibri" w:eastAsia="SimSun" w:hAnsi="Calibri" w:cs="Calibri"/>
          <w:lang w:val="en-US"/>
        </w:rPr>
        <w:t>erall M&amp;E will be conducted by UNDP Country Office.</w:t>
      </w:r>
      <w:r w:rsidRPr="00A65C68">
        <w:rPr>
          <w:rFonts w:ascii="Calibri" w:eastAsia="SimSun" w:hAnsi="Calibri" w:cs="Calibri"/>
          <w:lang w:val="en-US"/>
        </w:rPr>
        <w:t xml:space="preserve"> The </w:t>
      </w:r>
      <w:r w:rsidR="00EF6A78" w:rsidRPr="00A65C68">
        <w:rPr>
          <w:rFonts w:ascii="Calibri" w:eastAsia="SimSun" w:hAnsi="Calibri" w:cs="Calibri"/>
          <w:lang w:val="en-US"/>
        </w:rPr>
        <w:t>Project Board</w:t>
      </w:r>
      <w:r w:rsidRPr="00A65C68">
        <w:rPr>
          <w:rFonts w:ascii="Calibri" w:eastAsia="SimSun" w:hAnsi="Calibri" w:cs="Calibri"/>
          <w:lang w:val="en-US"/>
        </w:rPr>
        <w:t xml:space="preserve"> including the main project stakeholders will meet annually to: (a) review annual work plan, (b) assess progress against M&amp;E targets as indicated in the Project Results Framework, (c) review interim and final reports, and (d) assess any gaps or weakness and make appropriate adaptive management decisions based on progress and achievements. </w:t>
      </w:r>
    </w:p>
    <w:p w14:paraId="283ACC97" w14:textId="77777777" w:rsidR="00B02FC8" w:rsidRDefault="00B02FC8" w:rsidP="007B1223">
      <w:pPr>
        <w:spacing w:after="0" w:line="271" w:lineRule="auto"/>
        <w:jc w:val="both"/>
        <w:rPr>
          <w:rFonts w:ascii="Calibri" w:eastAsia="SimSun" w:hAnsi="Calibri" w:cs="Calibri"/>
          <w:highlight w:val="green"/>
          <w:lang w:val="en-US"/>
        </w:rPr>
      </w:pPr>
    </w:p>
    <w:p w14:paraId="17038BCF" w14:textId="77777777" w:rsidR="007B1223" w:rsidRPr="007B1223" w:rsidRDefault="007B1223" w:rsidP="007B1223">
      <w:pPr>
        <w:spacing w:after="0" w:line="271" w:lineRule="auto"/>
        <w:jc w:val="both"/>
        <w:rPr>
          <w:rFonts w:ascii="Calibri" w:eastAsia="SimSun" w:hAnsi="Calibri" w:cs="Calibri"/>
          <w:lang w:val="en-US"/>
        </w:rPr>
      </w:pPr>
      <w:r w:rsidRPr="007B1223">
        <w:rPr>
          <w:rFonts w:ascii="Calibri" w:eastAsia="SimSun" w:hAnsi="Calibri" w:cs="Calibri"/>
          <w:lang w:val="en-US"/>
        </w:rPr>
        <w:t xml:space="preserve">Project-level monitoring and evaluation will be undertaken in compliance with standard UNDP requirements as outlined in the </w:t>
      </w:r>
      <w:hyperlink r:id="rId12" w:history="1">
        <w:r w:rsidRPr="00217F27">
          <w:rPr>
            <w:rFonts w:ascii="Calibri" w:eastAsia="SimSun" w:hAnsi="Calibri" w:cs="Calibri"/>
            <w:lang w:val="en-US"/>
          </w:rPr>
          <w:t>UNDP POPP</w:t>
        </w:r>
      </w:hyperlink>
      <w:r w:rsidRPr="00217F27">
        <w:rPr>
          <w:rFonts w:ascii="Calibri" w:eastAsia="SimSun" w:hAnsi="Calibri" w:cs="Calibri"/>
          <w:lang w:val="en-US"/>
        </w:rPr>
        <w:t xml:space="preserve"> and </w:t>
      </w:r>
      <w:hyperlink r:id="rId13" w:history="1">
        <w:r w:rsidRPr="00217F27">
          <w:rPr>
            <w:rFonts w:ascii="Calibri" w:eastAsia="SimSun" w:hAnsi="Calibri" w:cs="Calibri"/>
            <w:lang w:val="en-US"/>
          </w:rPr>
          <w:t>UNDP Evaluation Policy</w:t>
        </w:r>
      </w:hyperlink>
      <w:r w:rsidRPr="007B1223">
        <w:rPr>
          <w:rFonts w:ascii="Calibri" w:eastAsia="SimSun" w:hAnsi="Calibri" w:cs="Calibri"/>
          <w:lang w:val="en-US"/>
        </w:rPr>
        <w:t xml:space="preserve">. Though these UNDP requirements are not detailed in this section of the project document, the UNDP Country Office will ensure UNDP M&amp;E requirements are met in a timely fashion and to high quality standards. The additional and mandatory GEF-specific M&amp;E requirements as outlined in this section will be undertaken in accordance with the </w:t>
      </w:r>
      <w:hyperlink r:id="rId14" w:history="1">
        <w:r w:rsidRPr="00217F27">
          <w:rPr>
            <w:rFonts w:ascii="Calibri" w:eastAsia="SimSun" w:hAnsi="Calibri" w:cs="Calibri"/>
            <w:lang w:val="en-US"/>
          </w:rPr>
          <w:t>GEF M&amp;E policy</w:t>
        </w:r>
      </w:hyperlink>
      <w:r w:rsidRPr="00217F27">
        <w:rPr>
          <w:rFonts w:ascii="Calibri" w:eastAsia="SimSun" w:hAnsi="Calibri" w:cs="Calibri"/>
          <w:lang w:val="en-US"/>
        </w:rPr>
        <w:t xml:space="preserve"> a</w:t>
      </w:r>
      <w:r w:rsidRPr="007B1223">
        <w:rPr>
          <w:rFonts w:ascii="Calibri" w:eastAsia="SimSun" w:hAnsi="Calibri" w:cs="Calibri"/>
          <w:lang w:val="en-US"/>
        </w:rPr>
        <w:t>nd GEF guidance materials (link to be added)</w:t>
      </w:r>
      <w:r w:rsidRPr="007B1223">
        <w:rPr>
          <w:rFonts w:ascii="Calibri" w:eastAsia="SimSun" w:hAnsi="Calibri" w:cs="Times New Roman"/>
          <w:vertAlign w:val="superscript"/>
          <w:lang w:val="en-US"/>
        </w:rPr>
        <w:footnoteReference w:id="7"/>
      </w:r>
      <w:r w:rsidRPr="007B1223">
        <w:rPr>
          <w:rFonts w:ascii="Calibri" w:eastAsia="SimSun" w:hAnsi="Calibri" w:cs="Calibri"/>
          <w:lang w:val="en-US"/>
        </w:rPr>
        <w:t xml:space="preserve">.  In addition to these mandatory UNDP and GEF M&amp;E requirements, other M&amp;E activities deemed necessary to support project-level adaptive management, and the exact role of project target groups and other stakeholders in project M&amp;E activities, will be finalized during the Inception Workshop and will be detailed in the Inception Report. </w:t>
      </w:r>
    </w:p>
    <w:p w14:paraId="7E1747A2" w14:textId="77777777" w:rsidR="007B1223" w:rsidRPr="007B1223" w:rsidRDefault="007B1223" w:rsidP="007B1223">
      <w:pPr>
        <w:spacing w:after="0" w:line="271" w:lineRule="auto"/>
        <w:jc w:val="both"/>
        <w:rPr>
          <w:rFonts w:ascii="Calibri" w:eastAsia="SimSun" w:hAnsi="Calibri" w:cs="Calibri"/>
          <w:lang w:val="en-US"/>
        </w:rPr>
      </w:pPr>
    </w:p>
    <w:p w14:paraId="5E23FDF9" w14:textId="77777777" w:rsidR="007B1223" w:rsidRPr="007B1223" w:rsidRDefault="007B1223" w:rsidP="007B1223">
      <w:pPr>
        <w:spacing w:after="0" w:line="271" w:lineRule="auto"/>
        <w:jc w:val="both"/>
        <w:rPr>
          <w:rFonts w:ascii="Calibri" w:eastAsia="SimSun" w:hAnsi="Calibri" w:cs="Calibri"/>
          <w:b/>
          <w:lang w:val="en-US"/>
        </w:rPr>
      </w:pPr>
      <w:r w:rsidRPr="007B1223">
        <w:rPr>
          <w:rFonts w:ascii="Calibri" w:eastAsia="SimSun" w:hAnsi="Calibri" w:cs="Calibri"/>
          <w:b/>
          <w:lang w:val="en-US"/>
        </w:rPr>
        <w:t>Oversight and monitoring responsibilities:</w:t>
      </w:r>
    </w:p>
    <w:p w14:paraId="25D3177E" w14:textId="77777777" w:rsidR="007B1223" w:rsidRPr="007B1223" w:rsidRDefault="007B1223" w:rsidP="007B1223">
      <w:pPr>
        <w:spacing w:after="0" w:line="271" w:lineRule="auto"/>
        <w:jc w:val="both"/>
        <w:rPr>
          <w:rFonts w:ascii="Calibri" w:eastAsia="SimSun" w:hAnsi="Calibri" w:cs="Calibri"/>
          <w:lang w:val="en-US"/>
        </w:rPr>
      </w:pPr>
      <w:r w:rsidRPr="007B1223">
        <w:rPr>
          <w:rFonts w:ascii="Calibri" w:eastAsia="SimSun" w:hAnsi="Calibri" w:cs="Calibri"/>
          <w:lang w:val="en-US"/>
        </w:rPr>
        <w:t xml:space="preserve">The primary responsibility for day-to-day project implementation and regular monitoring rests with the Project Manager.  The Project Manager will develop annual work plans based on the multi-year work plan included in the annexes, including annual targets at the output level to ensure the efficient implementation of the project.  The Project Manager will ensure that the standard UNDP and GEF M&amp;E requirements are fulfilled to the highest quality.  This includes, but is not limited to, ensuring the results framework indicators are monitored annually in time for reporting (i.e. GEF PIR), and reporting to the Project Board at least once a year on project progress.  The Project Manager will inform the Project Board and the UNDP Country Office of any delays or difficulties as they arise during implementation, including the implementation of the M&amp;E plan, so that the appropriate support and corrective measures can be adopted. The Project Manager will also ensure that all project staff maintain a high level of transparency, responsibility and accountability in monitoring and reporting project results.  </w:t>
      </w:r>
    </w:p>
    <w:p w14:paraId="2E39150A" w14:textId="77777777" w:rsidR="007B1223" w:rsidRPr="007B1223" w:rsidRDefault="007B1223" w:rsidP="007B1223">
      <w:pPr>
        <w:spacing w:after="0" w:line="271" w:lineRule="auto"/>
        <w:jc w:val="both"/>
        <w:rPr>
          <w:rFonts w:ascii="Calibri" w:eastAsia="SimSun" w:hAnsi="Calibri" w:cs="Calibri"/>
          <w:lang w:val="en-US"/>
        </w:rPr>
      </w:pPr>
    </w:p>
    <w:p w14:paraId="5EE8F96C" w14:textId="77777777" w:rsidR="007B1223" w:rsidRPr="007B1223" w:rsidRDefault="007B1223" w:rsidP="007B1223">
      <w:pPr>
        <w:spacing w:after="0" w:line="271" w:lineRule="auto"/>
        <w:jc w:val="both"/>
        <w:rPr>
          <w:rFonts w:ascii="Calibri" w:eastAsia="SimSun" w:hAnsi="Calibri" w:cs="Calibri"/>
          <w:lang w:val="en-US"/>
        </w:rPr>
      </w:pPr>
      <w:r w:rsidRPr="007B1223">
        <w:rPr>
          <w:rFonts w:ascii="Calibri" w:eastAsia="SimSun" w:hAnsi="Calibri" w:cs="Calibri"/>
          <w:lang w:val="en-US"/>
        </w:rPr>
        <w:lastRenderedPageBreak/>
        <w:t xml:space="preserve">The UNDP Country Office will support the Project Manager as needed, including through annual supervision missions.  The UNDP Country Office is responsible for complying with all UNDP project-level M&amp;E requirements as outlined in the </w:t>
      </w:r>
      <w:hyperlink r:id="rId15" w:history="1">
        <w:r w:rsidRPr="00217F27">
          <w:rPr>
            <w:rFonts w:ascii="Calibri" w:eastAsia="SimSun" w:hAnsi="Calibri" w:cs="Calibri"/>
            <w:lang w:val="en-US"/>
          </w:rPr>
          <w:t>UNDP POPP</w:t>
        </w:r>
      </w:hyperlink>
      <w:r w:rsidRPr="00217F27">
        <w:rPr>
          <w:rFonts w:ascii="Calibri" w:eastAsia="SimSun" w:hAnsi="Calibri" w:cs="Calibri"/>
          <w:lang w:val="en-US"/>
        </w:rPr>
        <w:t xml:space="preserve">. This includes ensuring the UNDP Quality Assurance Assessment during implementation is undertaken annually; that annual targets at the output level are developed, and monitored and reported using UNDP corporate </w:t>
      </w:r>
      <w:r w:rsidRPr="00217F27">
        <w:rPr>
          <w:rFonts w:ascii="Calibri" w:eastAsia="SimSun" w:hAnsi="Calibri" w:cs="Calibri"/>
          <w:i/>
          <w:lang w:val="en-US"/>
        </w:rPr>
        <w:t>systems</w:t>
      </w:r>
      <w:r w:rsidRPr="00217F27">
        <w:rPr>
          <w:rFonts w:ascii="Calibri" w:eastAsia="SimSun" w:hAnsi="Calibri" w:cs="Calibri"/>
          <w:lang w:val="en-US"/>
        </w:rPr>
        <w:t>; and, updating the UNDP gender marker on an annual basis based on progress reported in the GEF PIR and UNDP ROAR reporting.  Any quality concerns flagged by the process must be addressed by project management.  Additional</w:t>
      </w:r>
      <w:r w:rsidRPr="007B1223">
        <w:rPr>
          <w:rFonts w:ascii="Calibri" w:eastAsia="SimSun" w:hAnsi="Calibri" w:cs="Calibri"/>
          <w:lang w:val="en-US"/>
        </w:rPr>
        <w:t xml:space="preserve"> M&amp;E and implementation quality assurance and troubleshooting support will be provided by the UNDP-GEF Regional Technical Advisor and the UNDP-GEF Unit as needed.  The project target groups and stakeholders including the GEF Operational Focal Point will be involved as much as possible in project-level M&amp;E. Per GEF guidance this project is not eligible for midterm review and terminal evaluations. </w:t>
      </w:r>
    </w:p>
    <w:p w14:paraId="2AB58771" w14:textId="77777777" w:rsidR="007B1223" w:rsidRPr="007B1223" w:rsidRDefault="007B1223" w:rsidP="007B1223">
      <w:pPr>
        <w:spacing w:after="0" w:line="271" w:lineRule="auto"/>
        <w:jc w:val="both"/>
        <w:rPr>
          <w:rFonts w:ascii="Calibri" w:eastAsia="SimSun" w:hAnsi="Calibri" w:cs="Calibri"/>
          <w:highlight w:val="yellow"/>
          <w:lang w:val="en-US"/>
        </w:rPr>
      </w:pPr>
    </w:p>
    <w:p w14:paraId="1119C069" w14:textId="08382544" w:rsidR="007B1223" w:rsidRPr="007B1223" w:rsidRDefault="007B1223" w:rsidP="007B1223">
      <w:pPr>
        <w:spacing w:after="0" w:line="271" w:lineRule="auto"/>
        <w:jc w:val="both"/>
        <w:rPr>
          <w:rFonts w:ascii="Calibri" w:eastAsia="SimSun" w:hAnsi="Calibri" w:cs="Calibri"/>
          <w:lang w:val="en-US"/>
        </w:rPr>
      </w:pPr>
      <w:r w:rsidRPr="007B1223">
        <w:rPr>
          <w:rFonts w:ascii="Calibri" w:eastAsia="SimSun" w:hAnsi="Calibri" w:cs="Calibri"/>
          <w:b/>
          <w:lang w:val="en-US"/>
        </w:rPr>
        <w:t>Audit Clause</w:t>
      </w:r>
      <w:r w:rsidRPr="007B1223">
        <w:rPr>
          <w:rFonts w:ascii="Calibri" w:eastAsia="SimSun" w:hAnsi="Calibri" w:cs="Calibri"/>
          <w:lang w:val="en-US"/>
        </w:rPr>
        <w:t xml:space="preserve">: The project will be audited </w:t>
      </w:r>
      <w:r w:rsidR="00477963" w:rsidRPr="007B1223">
        <w:rPr>
          <w:rFonts w:ascii="Calibri" w:eastAsia="SimSun" w:hAnsi="Calibri" w:cs="Calibri"/>
          <w:lang w:val="en-US"/>
        </w:rPr>
        <w:t>per</w:t>
      </w:r>
      <w:r w:rsidRPr="007B1223">
        <w:rPr>
          <w:rFonts w:ascii="Calibri" w:eastAsia="SimSun" w:hAnsi="Calibri" w:cs="Calibri"/>
          <w:lang w:val="en-US"/>
        </w:rPr>
        <w:t xml:space="preserve"> UNDP Financial Regulations and Rules and applicable audit policies on NIM implemented projects.</w:t>
      </w:r>
    </w:p>
    <w:p w14:paraId="23F74520" w14:textId="77777777" w:rsidR="007B1223" w:rsidRPr="007B1223" w:rsidRDefault="007B1223" w:rsidP="007B1223">
      <w:pPr>
        <w:spacing w:after="0" w:line="271" w:lineRule="auto"/>
        <w:jc w:val="both"/>
        <w:rPr>
          <w:rFonts w:ascii="Calibri" w:eastAsia="SimSun" w:hAnsi="Calibri" w:cs="Calibri"/>
          <w:lang w:val="en-US"/>
        </w:rPr>
      </w:pPr>
    </w:p>
    <w:p w14:paraId="6023B351" w14:textId="77777777" w:rsidR="007B1223" w:rsidRPr="007B1223" w:rsidRDefault="007B1223" w:rsidP="007B1223">
      <w:pPr>
        <w:spacing w:after="0" w:line="271" w:lineRule="auto"/>
        <w:jc w:val="both"/>
        <w:rPr>
          <w:rFonts w:ascii="Calibri" w:eastAsia="SimSun" w:hAnsi="Calibri" w:cs="Calibri"/>
          <w:b/>
          <w:lang w:val="en-US"/>
        </w:rPr>
      </w:pPr>
      <w:r w:rsidRPr="007B1223">
        <w:rPr>
          <w:rFonts w:ascii="Calibri" w:eastAsia="SimSun" w:hAnsi="Calibri" w:cs="Calibri"/>
          <w:b/>
          <w:lang w:val="en-US"/>
        </w:rPr>
        <w:t>Additional GEF monitoring and reporting requirements:</w:t>
      </w:r>
    </w:p>
    <w:p w14:paraId="54A30A55" w14:textId="77777777" w:rsidR="007B1223" w:rsidRPr="007B1223" w:rsidRDefault="007B1223" w:rsidP="007B1223">
      <w:pPr>
        <w:spacing w:after="0" w:line="271" w:lineRule="auto"/>
        <w:jc w:val="both"/>
        <w:rPr>
          <w:rFonts w:ascii="Calibri" w:eastAsia="SimSun" w:hAnsi="Calibri" w:cs="Calibri"/>
          <w:lang w:val="en-US"/>
        </w:rPr>
      </w:pPr>
      <w:r w:rsidRPr="007B1223">
        <w:rPr>
          <w:rFonts w:ascii="Calibri" w:eastAsia="SimSun" w:hAnsi="Calibri" w:cs="Calibri"/>
          <w:u w:val="single"/>
          <w:lang w:val="en-US"/>
        </w:rPr>
        <w:t>Inception Workshop and Report</w:t>
      </w:r>
      <w:r w:rsidRPr="007B1223">
        <w:rPr>
          <w:rFonts w:ascii="Calibri" w:eastAsia="SimSun" w:hAnsi="Calibri" w:cs="Calibri"/>
          <w:lang w:val="en-US"/>
        </w:rPr>
        <w:t xml:space="preserve">:  A project inception workshop will be held after the project document has been signed by all relevant parties to:  a) re-orient project stakeholders to the project strategy and discuss any changes in the overall context that influence project implementation; b) discuss the roles and responsibilities of the project team, including reporting and communication lines and conflict resolution mechanisms; c) review the results framework and discuss reporting, monitoring and evaluation roles and responsibilities and finalize the M&amp;E plan; d) review financial reporting procedures and mandatory requirements, and agree on the arrangements for the annual audit; e) plan and schedule Project Board meetings and finalize the first year annual work plan.  The Project Manager will prepare the inception report no later than one month after the inception workshop. The final inception report will be cleared by the UNDP Country Office and the UNDP-GEF Regional Technical Adviser, and will be approved by the Project Board.   </w:t>
      </w:r>
    </w:p>
    <w:p w14:paraId="0DD04BE7" w14:textId="77777777" w:rsidR="007B1223" w:rsidRPr="007B1223" w:rsidRDefault="007B1223" w:rsidP="007B1223">
      <w:pPr>
        <w:autoSpaceDE w:val="0"/>
        <w:autoSpaceDN w:val="0"/>
        <w:adjustRightInd w:val="0"/>
        <w:spacing w:after="0" w:line="240" w:lineRule="auto"/>
        <w:jc w:val="both"/>
        <w:rPr>
          <w:rFonts w:ascii="Calibri" w:eastAsia="SimSun" w:hAnsi="Calibri" w:cs="Times New Roman"/>
          <w:color w:val="000000"/>
          <w:lang w:val="en-US"/>
        </w:rPr>
      </w:pPr>
    </w:p>
    <w:p w14:paraId="0AFC9B69" w14:textId="77777777" w:rsidR="007B1223" w:rsidRPr="007B1223" w:rsidRDefault="007B1223" w:rsidP="007B1223">
      <w:pPr>
        <w:spacing w:after="0" w:line="271" w:lineRule="auto"/>
        <w:jc w:val="both"/>
        <w:rPr>
          <w:rFonts w:ascii="Calibri" w:eastAsia="SimSun" w:hAnsi="Calibri" w:cs="Calibri"/>
          <w:lang w:val="en-US"/>
        </w:rPr>
      </w:pPr>
      <w:r w:rsidRPr="007B1223">
        <w:rPr>
          <w:rFonts w:ascii="Calibri" w:eastAsia="SimSun" w:hAnsi="Calibri" w:cs="Calibri"/>
          <w:u w:val="single"/>
          <w:lang w:val="en-US"/>
        </w:rPr>
        <w:t>GEF Project Implementation Report (PIR</w:t>
      </w:r>
      <w:r w:rsidRPr="007B1223">
        <w:rPr>
          <w:rFonts w:ascii="Calibri" w:eastAsia="SimSun" w:hAnsi="Calibri" w:cs="Calibri"/>
          <w:lang w:val="en-US"/>
        </w:rPr>
        <w:t xml:space="preserve">):  The Project Manager, the UNDP Country Office, and the UNDP-GEF Regional Technical Advisor will provide objective input to the annual GEF PIR covering the reporting period July (previous year) to June (current year) for each year of project implementation.  The Project Manager will ensure that the indicators included in the project results framework are monitored annually well in advance of the PIR submission deadline and are reported on accordingly in the PIR.  The PIR that is submitted to the GEF each year must also be submitted in English and shared with the Project Board.  The UNDP Country Office will coordinate the input of the GEF Operational Focal Point and other stakeholders to the PIR.  The quality rating of the previous year’s PIR will be used to inform the preparation of the subsequent PIR.  The project’s terminal PIR along with the terminal evaluation (TE) report and corresponding management response will serve as the final project report package.  The final project report package shall be discussed with the Project Board during an end-of-project review meeting to discuss lesson learned and opportunities for scaling up.    </w:t>
      </w:r>
    </w:p>
    <w:p w14:paraId="17E2D15B" w14:textId="77777777" w:rsidR="007B1223" w:rsidRPr="007B1223" w:rsidRDefault="007B1223" w:rsidP="007B1223">
      <w:pPr>
        <w:spacing w:after="0" w:line="271" w:lineRule="auto"/>
        <w:jc w:val="both"/>
        <w:rPr>
          <w:rFonts w:ascii="Calibri" w:eastAsia="SimSun" w:hAnsi="Calibri" w:cs="Calibri"/>
          <w:lang w:val="en-GB"/>
        </w:rPr>
      </w:pPr>
    </w:p>
    <w:p w14:paraId="73864B19" w14:textId="77777777" w:rsidR="007B1223" w:rsidRPr="007B1223" w:rsidRDefault="007B1223" w:rsidP="007B1223">
      <w:pPr>
        <w:spacing w:after="0" w:line="271" w:lineRule="auto"/>
        <w:jc w:val="both"/>
        <w:rPr>
          <w:rFonts w:ascii="Calibri" w:eastAsia="SimSun" w:hAnsi="Calibri" w:cs="Calibri"/>
          <w:lang w:val="en-GB"/>
        </w:rPr>
      </w:pPr>
      <w:r w:rsidRPr="007B1223">
        <w:rPr>
          <w:rFonts w:ascii="Calibri" w:eastAsia="SimSun" w:hAnsi="Calibri" w:cs="Calibri"/>
          <w:u w:val="single"/>
          <w:lang w:val="en-GB"/>
        </w:rPr>
        <w:lastRenderedPageBreak/>
        <w:t>GEF Focal Area Tracking Tools</w:t>
      </w:r>
      <w:r w:rsidRPr="007B1223">
        <w:rPr>
          <w:rFonts w:ascii="Calibri" w:eastAsia="SimSun" w:hAnsi="Calibri" w:cs="Calibri"/>
          <w:lang w:val="en-GB"/>
        </w:rPr>
        <w:t xml:space="preserve">:  In line with its objective and the corresponding GEF Focal Areas/ Programs, this project will prepare the following GEF Tracking Tool(s): </w:t>
      </w:r>
      <w:r w:rsidRPr="007B1223">
        <w:rPr>
          <w:rFonts w:ascii="Calibri" w:eastAsia="SimSun" w:hAnsi="Calibri" w:cs="Calibri"/>
          <w:i/>
          <w:lang w:val="en-GB"/>
        </w:rPr>
        <w:t xml:space="preserve">list the required GEF Tracking Tool(s), as agreed with the UNDP-GEF RTA. </w:t>
      </w:r>
      <w:r w:rsidRPr="007B1223">
        <w:rPr>
          <w:rFonts w:ascii="Calibri" w:eastAsia="SimSun" w:hAnsi="Calibri" w:cs="Calibri"/>
          <w:lang w:val="en-GB"/>
        </w:rPr>
        <w:t>The baseline/CEO Endorsement GEF Focal Area Tracking Tool(s) – submitted in Annex to this project document – will be updated by the Project Manager/Team. If applicable the updated GEF Tracking Tool(s) will be submitted to the GEF.</w:t>
      </w:r>
    </w:p>
    <w:p w14:paraId="3C1A7F79" w14:textId="77777777" w:rsidR="007B1223" w:rsidRPr="007B1223" w:rsidRDefault="007B1223" w:rsidP="007B1223">
      <w:pPr>
        <w:spacing w:after="0" w:line="271" w:lineRule="auto"/>
        <w:jc w:val="both"/>
        <w:rPr>
          <w:rFonts w:ascii="Calibri" w:eastAsia="SimSun" w:hAnsi="Calibri" w:cs="Calibri"/>
          <w:b/>
          <w:u w:val="single"/>
          <w:lang w:val="en-US"/>
        </w:rPr>
      </w:pPr>
    </w:p>
    <w:p w14:paraId="39BFF689" w14:textId="77777777" w:rsidR="001C4C6E" w:rsidRDefault="007B1223" w:rsidP="001C4C6E">
      <w:pPr>
        <w:spacing w:after="0" w:line="271" w:lineRule="auto"/>
        <w:jc w:val="both"/>
        <w:rPr>
          <w:rFonts w:ascii="Calibri" w:eastAsia="SimSun" w:hAnsi="Calibri" w:cs="Calibri"/>
          <w:sz w:val="20"/>
          <w:szCs w:val="20"/>
          <w:lang w:val="en-US"/>
        </w:rPr>
      </w:pPr>
      <w:r w:rsidRPr="007B1223">
        <w:rPr>
          <w:rFonts w:ascii="Calibri" w:eastAsia="SimSun" w:hAnsi="Calibri" w:cs="Calibri"/>
          <w:lang w:val="en-US"/>
        </w:rPr>
        <w:t>The UNDP Country Office will retain all M&amp;E records for this project for up to seven years after project financial closure in order to support ex-post evaluations undertaken by the UNDP Independent Evaluation Office and/or the GEF Independent Evaluation Office.</w:t>
      </w:r>
      <w:r w:rsidRPr="007B1223">
        <w:rPr>
          <w:rFonts w:ascii="Calibri" w:eastAsia="SimSun" w:hAnsi="Calibri" w:cs="Calibri"/>
          <w:sz w:val="20"/>
          <w:szCs w:val="20"/>
          <w:lang w:val="en-US"/>
        </w:rPr>
        <w:t xml:space="preserve">  </w:t>
      </w:r>
    </w:p>
    <w:p w14:paraId="03A4C4FF" w14:textId="77777777" w:rsidR="001C4C6E" w:rsidRDefault="001C4C6E" w:rsidP="001C4C6E">
      <w:pPr>
        <w:spacing w:after="0" w:line="271" w:lineRule="auto"/>
        <w:jc w:val="both"/>
        <w:rPr>
          <w:rFonts w:ascii="Calibri" w:eastAsia="SimSun" w:hAnsi="Calibri" w:cs="Calibri"/>
          <w:sz w:val="20"/>
          <w:szCs w:val="20"/>
          <w:lang w:val="en-US"/>
        </w:rPr>
      </w:pPr>
    </w:p>
    <w:p w14:paraId="213D9408" w14:textId="1461B68C" w:rsidR="007B1223" w:rsidRPr="007B1223" w:rsidRDefault="001C4C6E" w:rsidP="001C4C6E">
      <w:pPr>
        <w:spacing w:after="0" w:line="271" w:lineRule="auto"/>
        <w:jc w:val="both"/>
        <w:rPr>
          <w:rFonts w:ascii="Calibri" w:eastAsia="SimSun" w:hAnsi="Calibri" w:cs="Calibri"/>
          <w:b/>
          <w:szCs w:val="20"/>
          <w:u w:val="single"/>
          <w:lang w:val="en-US"/>
        </w:rPr>
      </w:pPr>
      <w:r>
        <w:rPr>
          <w:rFonts w:ascii="Calibri" w:eastAsia="SimSun" w:hAnsi="Calibri" w:cs="Calibri"/>
          <w:b/>
          <w:szCs w:val="20"/>
          <w:u w:val="single"/>
          <w:lang w:val="en-US"/>
        </w:rPr>
        <w:t>Table 3</w:t>
      </w:r>
      <w:r w:rsidR="007B1223" w:rsidRPr="007B1223">
        <w:rPr>
          <w:rFonts w:ascii="Calibri" w:eastAsia="SimSun" w:hAnsi="Calibri" w:cs="Calibri"/>
          <w:b/>
          <w:szCs w:val="20"/>
          <w:u w:val="single"/>
          <w:lang w:val="en-US"/>
        </w:rPr>
        <w:t xml:space="preserve"> - Mandatory GEF M&amp;E Requirements and M&amp;E Budget:</w:t>
      </w:r>
    </w:p>
    <w:p w14:paraId="5264A908" w14:textId="77777777" w:rsidR="007B1223" w:rsidRPr="007B1223" w:rsidRDefault="007B1223" w:rsidP="007B1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jc w:val="both"/>
        <w:rPr>
          <w:rFonts w:ascii="Calibri" w:eastAsia="SimSun" w:hAnsi="Calibri" w:cs="Calibri"/>
          <w:i/>
          <w:sz w:val="20"/>
          <w:szCs w:val="20"/>
          <w:lang w:val="en-US"/>
        </w:rPr>
      </w:pPr>
      <w:r w:rsidRPr="007B1223">
        <w:rPr>
          <w:rFonts w:ascii="Calibri" w:eastAsia="SimSun" w:hAnsi="Calibri" w:cs="Calibri"/>
          <w:b/>
          <w:i/>
          <w:sz w:val="20"/>
          <w:szCs w:val="20"/>
          <w:lang w:val="en-US"/>
        </w:rPr>
        <w:t xml:space="preserve">Note to project developers: </w:t>
      </w:r>
      <w:r w:rsidRPr="007B1223">
        <w:rPr>
          <w:rFonts w:ascii="Calibri" w:eastAsia="SimSun" w:hAnsi="Calibri" w:cs="Calibri"/>
          <w:i/>
          <w:sz w:val="20"/>
          <w:szCs w:val="20"/>
          <w:lang w:val="en-US"/>
        </w:rPr>
        <w:t>Delete rows with italic text as appropriate (e.g. if the project is medium-sized).</w:t>
      </w:r>
    </w:p>
    <w:p w14:paraId="7AB58599" w14:textId="77777777" w:rsidR="003222D4" w:rsidRDefault="003222D4" w:rsidP="003222D4">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0"/>
        <w:gridCol w:w="1705"/>
      </w:tblGrid>
      <w:tr w:rsidR="007B1223" w:rsidRPr="007B1223" w14:paraId="4F4D1433" w14:textId="77777777" w:rsidTr="005808BA">
        <w:trPr>
          <w:tblHeader/>
          <w:jc w:val="center"/>
        </w:trPr>
        <w:tc>
          <w:tcPr>
            <w:tcW w:w="3145" w:type="dxa"/>
            <w:vMerge w:val="restart"/>
            <w:shd w:val="clear" w:color="auto" w:fill="BFBFBF"/>
          </w:tcPr>
          <w:p w14:paraId="20D33BCA" w14:textId="77777777" w:rsidR="007B1223" w:rsidRPr="007B1223" w:rsidRDefault="007B1223" w:rsidP="007B1223">
            <w:pPr>
              <w:spacing w:after="60" w:line="240" w:lineRule="auto"/>
              <w:jc w:val="center"/>
              <w:rPr>
                <w:rFonts w:ascii="Calibri" w:eastAsia="SimSun" w:hAnsi="Calibri" w:cs="Calibri"/>
                <w:b/>
                <w:sz w:val="20"/>
                <w:szCs w:val="20"/>
                <w:lang w:val="en-US"/>
              </w:rPr>
            </w:pPr>
            <w:r w:rsidRPr="007B1223">
              <w:rPr>
                <w:rFonts w:ascii="Calibri" w:eastAsia="SimSun" w:hAnsi="Calibri" w:cs="Calibri"/>
                <w:b/>
                <w:sz w:val="20"/>
                <w:szCs w:val="20"/>
                <w:lang w:val="en-US"/>
              </w:rPr>
              <w:t>GEF M&amp;E requirements</w:t>
            </w:r>
          </w:p>
          <w:p w14:paraId="62A97BF0" w14:textId="77777777" w:rsidR="007B1223" w:rsidRPr="007B1223" w:rsidRDefault="007B1223" w:rsidP="007B1223">
            <w:pPr>
              <w:spacing w:after="60" w:line="240" w:lineRule="auto"/>
              <w:jc w:val="center"/>
              <w:rPr>
                <w:rFonts w:ascii="Calibri" w:eastAsia="SimSun" w:hAnsi="Calibri" w:cs="Calibri"/>
                <w:b/>
                <w:sz w:val="20"/>
                <w:szCs w:val="20"/>
                <w:lang w:val="en-US"/>
              </w:rPr>
            </w:pPr>
          </w:p>
        </w:tc>
        <w:tc>
          <w:tcPr>
            <w:tcW w:w="1980" w:type="dxa"/>
            <w:vMerge w:val="restart"/>
            <w:shd w:val="clear" w:color="auto" w:fill="BFBFBF"/>
          </w:tcPr>
          <w:p w14:paraId="1B0491F0" w14:textId="77777777" w:rsidR="007B1223" w:rsidRPr="007B1223" w:rsidRDefault="007B1223" w:rsidP="007B1223">
            <w:pPr>
              <w:spacing w:after="60" w:line="240" w:lineRule="auto"/>
              <w:jc w:val="center"/>
              <w:rPr>
                <w:rFonts w:ascii="Calibri" w:eastAsia="SimSun" w:hAnsi="Calibri" w:cs="Calibri"/>
                <w:b/>
                <w:sz w:val="20"/>
                <w:szCs w:val="20"/>
                <w:lang w:val="en-US"/>
              </w:rPr>
            </w:pPr>
            <w:r w:rsidRPr="007B1223">
              <w:rPr>
                <w:rFonts w:ascii="Calibri" w:eastAsia="SimSun" w:hAnsi="Calibri" w:cs="Calibri"/>
                <w:b/>
                <w:sz w:val="20"/>
                <w:szCs w:val="20"/>
                <w:lang w:val="en-US"/>
              </w:rPr>
              <w:t>Primary responsibility</w:t>
            </w:r>
          </w:p>
        </w:tc>
        <w:tc>
          <w:tcPr>
            <w:tcW w:w="2520" w:type="dxa"/>
            <w:gridSpan w:val="2"/>
            <w:shd w:val="clear" w:color="auto" w:fill="BFBFBF"/>
          </w:tcPr>
          <w:p w14:paraId="195F5F4F" w14:textId="77777777" w:rsidR="007B1223" w:rsidRPr="007B1223" w:rsidRDefault="007B1223" w:rsidP="007B1223">
            <w:pPr>
              <w:spacing w:after="60" w:line="240" w:lineRule="auto"/>
              <w:jc w:val="center"/>
              <w:rPr>
                <w:rFonts w:ascii="Calibri" w:eastAsia="SimSun" w:hAnsi="Calibri" w:cs="Calibri"/>
                <w:b/>
                <w:sz w:val="20"/>
                <w:szCs w:val="20"/>
                <w:lang w:val="en-US"/>
              </w:rPr>
            </w:pPr>
            <w:r w:rsidRPr="007B1223">
              <w:rPr>
                <w:rFonts w:ascii="Calibri" w:eastAsia="SimSun" w:hAnsi="Calibri" w:cs="Calibri"/>
                <w:b/>
                <w:sz w:val="20"/>
                <w:szCs w:val="20"/>
                <w:lang w:val="en-US"/>
              </w:rPr>
              <w:t>Indicative costs to be charged to the Project Budget</w:t>
            </w:r>
            <w:r w:rsidRPr="007B1223">
              <w:rPr>
                <w:rFonts w:ascii="Calibri" w:eastAsia="SimSun" w:hAnsi="Calibri" w:cs="Times New Roman"/>
                <w:b/>
                <w:sz w:val="20"/>
                <w:szCs w:val="20"/>
                <w:vertAlign w:val="superscript"/>
                <w:lang w:val="en-US"/>
              </w:rPr>
              <w:footnoteReference w:id="8"/>
            </w:r>
            <w:r w:rsidRPr="007B1223">
              <w:rPr>
                <w:rFonts w:ascii="Calibri" w:eastAsia="SimSun" w:hAnsi="Calibri" w:cs="Calibri"/>
                <w:b/>
                <w:sz w:val="20"/>
                <w:szCs w:val="20"/>
                <w:lang w:val="en-US"/>
              </w:rPr>
              <w:t xml:space="preserve">  (US$)</w:t>
            </w:r>
          </w:p>
        </w:tc>
        <w:tc>
          <w:tcPr>
            <w:tcW w:w="1705" w:type="dxa"/>
            <w:vMerge w:val="restart"/>
            <w:shd w:val="clear" w:color="auto" w:fill="BFBFBF"/>
          </w:tcPr>
          <w:p w14:paraId="7AD8193C" w14:textId="77777777" w:rsidR="007B1223" w:rsidRPr="007B1223" w:rsidRDefault="007B1223" w:rsidP="007B1223">
            <w:pPr>
              <w:spacing w:after="60" w:line="240" w:lineRule="auto"/>
              <w:jc w:val="center"/>
              <w:rPr>
                <w:rFonts w:ascii="Calibri" w:eastAsia="SimSun" w:hAnsi="Calibri" w:cs="Calibri"/>
                <w:b/>
                <w:sz w:val="20"/>
                <w:szCs w:val="20"/>
                <w:lang w:val="en-US"/>
              </w:rPr>
            </w:pPr>
            <w:r w:rsidRPr="007B1223">
              <w:rPr>
                <w:rFonts w:ascii="Calibri" w:eastAsia="SimSun" w:hAnsi="Calibri" w:cs="Calibri"/>
                <w:b/>
                <w:sz w:val="20"/>
                <w:szCs w:val="20"/>
                <w:lang w:val="en-US"/>
              </w:rPr>
              <w:t>Time frame</w:t>
            </w:r>
          </w:p>
        </w:tc>
      </w:tr>
      <w:tr w:rsidR="007B1223" w:rsidRPr="007B1223" w14:paraId="627C289F" w14:textId="77777777" w:rsidTr="005808BA">
        <w:trPr>
          <w:tblHeader/>
          <w:jc w:val="center"/>
        </w:trPr>
        <w:tc>
          <w:tcPr>
            <w:tcW w:w="3145" w:type="dxa"/>
            <w:vMerge/>
            <w:shd w:val="clear" w:color="auto" w:fill="BFBFBF"/>
          </w:tcPr>
          <w:p w14:paraId="5B0CB6AD" w14:textId="77777777" w:rsidR="007B1223" w:rsidRPr="007B1223" w:rsidRDefault="007B1223" w:rsidP="007B1223">
            <w:pPr>
              <w:spacing w:after="60" w:line="240" w:lineRule="auto"/>
              <w:rPr>
                <w:rFonts w:ascii="Calibri" w:eastAsia="SimSun" w:hAnsi="Calibri" w:cs="Calibri"/>
                <w:b/>
                <w:sz w:val="20"/>
                <w:szCs w:val="20"/>
                <w:lang w:val="en-US"/>
              </w:rPr>
            </w:pPr>
          </w:p>
        </w:tc>
        <w:tc>
          <w:tcPr>
            <w:tcW w:w="1980" w:type="dxa"/>
            <w:vMerge/>
            <w:shd w:val="clear" w:color="auto" w:fill="BFBFBF"/>
          </w:tcPr>
          <w:p w14:paraId="11C8F600" w14:textId="77777777" w:rsidR="007B1223" w:rsidRPr="007B1223" w:rsidRDefault="007B1223" w:rsidP="007B1223">
            <w:pPr>
              <w:spacing w:after="60" w:line="240" w:lineRule="auto"/>
              <w:rPr>
                <w:rFonts w:ascii="Calibri" w:eastAsia="SimSun" w:hAnsi="Calibri" w:cs="Calibri"/>
                <w:b/>
                <w:sz w:val="20"/>
                <w:szCs w:val="20"/>
                <w:lang w:val="en-US"/>
              </w:rPr>
            </w:pPr>
          </w:p>
        </w:tc>
        <w:tc>
          <w:tcPr>
            <w:tcW w:w="1350" w:type="dxa"/>
            <w:shd w:val="clear" w:color="auto" w:fill="BFBFBF"/>
          </w:tcPr>
          <w:p w14:paraId="659207BC" w14:textId="77777777" w:rsidR="007B1223" w:rsidRPr="007B1223" w:rsidRDefault="007B1223" w:rsidP="007B1223">
            <w:pPr>
              <w:spacing w:after="60" w:line="240" w:lineRule="auto"/>
              <w:rPr>
                <w:rFonts w:ascii="Calibri" w:eastAsia="SimSun" w:hAnsi="Calibri" w:cs="Calibri"/>
                <w:b/>
                <w:sz w:val="20"/>
                <w:szCs w:val="20"/>
                <w:lang w:val="en-US"/>
              </w:rPr>
            </w:pPr>
            <w:r w:rsidRPr="007B1223">
              <w:rPr>
                <w:rFonts w:ascii="Calibri" w:eastAsia="SimSun" w:hAnsi="Calibri" w:cs="Calibri"/>
                <w:b/>
                <w:sz w:val="20"/>
                <w:szCs w:val="20"/>
                <w:lang w:val="en-US"/>
              </w:rPr>
              <w:t>GEF grant</w:t>
            </w:r>
          </w:p>
        </w:tc>
        <w:tc>
          <w:tcPr>
            <w:tcW w:w="1170" w:type="dxa"/>
            <w:shd w:val="clear" w:color="auto" w:fill="BFBFBF"/>
          </w:tcPr>
          <w:p w14:paraId="2E3F97CE" w14:textId="77777777" w:rsidR="007B1223" w:rsidRPr="007B1223" w:rsidRDefault="007B1223" w:rsidP="007B1223">
            <w:pPr>
              <w:spacing w:after="60" w:line="240" w:lineRule="auto"/>
              <w:rPr>
                <w:rFonts w:ascii="Calibri" w:eastAsia="SimSun" w:hAnsi="Calibri" w:cs="Calibri"/>
                <w:b/>
                <w:sz w:val="20"/>
                <w:szCs w:val="20"/>
                <w:lang w:val="en-US"/>
              </w:rPr>
            </w:pPr>
            <w:r w:rsidRPr="007B1223">
              <w:rPr>
                <w:rFonts w:ascii="Calibri" w:eastAsia="SimSun" w:hAnsi="Calibri" w:cs="Calibri"/>
                <w:b/>
                <w:sz w:val="20"/>
                <w:szCs w:val="20"/>
                <w:lang w:val="en-US"/>
              </w:rPr>
              <w:t>Co-financing</w:t>
            </w:r>
          </w:p>
        </w:tc>
        <w:tc>
          <w:tcPr>
            <w:tcW w:w="1705" w:type="dxa"/>
            <w:vMerge/>
            <w:shd w:val="clear" w:color="auto" w:fill="BFBFBF"/>
          </w:tcPr>
          <w:p w14:paraId="58AF91E0" w14:textId="77777777" w:rsidR="007B1223" w:rsidRPr="007B1223" w:rsidRDefault="007B1223" w:rsidP="007B1223">
            <w:pPr>
              <w:spacing w:after="60" w:line="240" w:lineRule="auto"/>
              <w:rPr>
                <w:rFonts w:ascii="Calibri" w:eastAsia="SimSun" w:hAnsi="Calibri" w:cs="Calibri"/>
                <w:b/>
                <w:sz w:val="20"/>
                <w:szCs w:val="20"/>
                <w:lang w:val="en-US"/>
              </w:rPr>
            </w:pPr>
          </w:p>
        </w:tc>
      </w:tr>
      <w:tr w:rsidR="007B1223" w:rsidRPr="00EE3E21" w14:paraId="50F17784" w14:textId="77777777" w:rsidTr="005808BA">
        <w:trPr>
          <w:jc w:val="center"/>
        </w:trPr>
        <w:tc>
          <w:tcPr>
            <w:tcW w:w="3145" w:type="dxa"/>
          </w:tcPr>
          <w:p w14:paraId="502F4B54" w14:textId="6CD041A9"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 xml:space="preserve">Inception (kick off) Workshop </w:t>
            </w:r>
            <w:r w:rsidR="00477963">
              <w:rPr>
                <w:rFonts w:ascii="Calibri" w:eastAsia="SimSun" w:hAnsi="Calibri" w:cs="Calibri"/>
                <w:b/>
                <w:sz w:val="18"/>
                <w:szCs w:val="18"/>
                <w:lang w:val="en-US"/>
              </w:rPr>
              <w:t>or 2 Field workshops</w:t>
            </w:r>
          </w:p>
        </w:tc>
        <w:tc>
          <w:tcPr>
            <w:tcW w:w="1980" w:type="dxa"/>
          </w:tcPr>
          <w:p w14:paraId="4169C11D" w14:textId="77777777" w:rsidR="007B1223" w:rsidRPr="007B1223" w:rsidRDefault="007B1223" w:rsidP="007B1223">
            <w:pPr>
              <w:spacing w:after="0" w:line="240" w:lineRule="auto"/>
              <w:rPr>
                <w:rFonts w:ascii="Calibri" w:eastAsia="SimSun" w:hAnsi="Calibri" w:cs="Calibri"/>
                <w:sz w:val="18"/>
                <w:szCs w:val="18"/>
                <w:lang w:val="en-US"/>
              </w:rPr>
            </w:pPr>
            <w:r w:rsidRPr="007B1223">
              <w:rPr>
                <w:rFonts w:ascii="Calibri" w:eastAsia="SimSun" w:hAnsi="Calibri" w:cs="Calibri"/>
                <w:sz w:val="18"/>
                <w:szCs w:val="18"/>
                <w:lang w:val="en-US"/>
              </w:rPr>
              <w:t xml:space="preserve">UNDP Country Office </w:t>
            </w:r>
          </w:p>
        </w:tc>
        <w:tc>
          <w:tcPr>
            <w:tcW w:w="1350" w:type="dxa"/>
          </w:tcPr>
          <w:p w14:paraId="11224915"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USD 2,000</w:t>
            </w:r>
          </w:p>
        </w:tc>
        <w:tc>
          <w:tcPr>
            <w:tcW w:w="1170" w:type="dxa"/>
          </w:tcPr>
          <w:p w14:paraId="6B5A7268" w14:textId="77777777" w:rsidR="007B1223" w:rsidRPr="007B1223" w:rsidRDefault="007B1223" w:rsidP="007B1223">
            <w:pPr>
              <w:spacing w:after="60" w:line="240" w:lineRule="auto"/>
              <w:rPr>
                <w:rFonts w:ascii="Calibri" w:eastAsia="SimSun" w:hAnsi="Calibri" w:cs="Calibri"/>
                <w:i/>
                <w:sz w:val="18"/>
                <w:szCs w:val="18"/>
                <w:lang w:val="en-US"/>
              </w:rPr>
            </w:pPr>
            <w:r w:rsidRPr="007B1223">
              <w:rPr>
                <w:rFonts w:ascii="Calibri" w:eastAsia="SimSun" w:hAnsi="Calibri" w:cs="Calibri"/>
                <w:sz w:val="18"/>
                <w:szCs w:val="18"/>
                <w:lang w:val="en-US"/>
              </w:rPr>
              <w:t>None</w:t>
            </w:r>
          </w:p>
        </w:tc>
        <w:tc>
          <w:tcPr>
            <w:tcW w:w="1705" w:type="dxa"/>
          </w:tcPr>
          <w:p w14:paraId="07E40070"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 xml:space="preserve">Within two months of project document signature </w:t>
            </w:r>
          </w:p>
        </w:tc>
      </w:tr>
      <w:tr w:rsidR="007B1223" w:rsidRPr="00EE3E21" w14:paraId="4FA2928D" w14:textId="77777777" w:rsidTr="005808BA">
        <w:trPr>
          <w:jc w:val="center"/>
        </w:trPr>
        <w:tc>
          <w:tcPr>
            <w:tcW w:w="3145" w:type="dxa"/>
          </w:tcPr>
          <w:p w14:paraId="5A82F0F2"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Inception Report</w:t>
            </w:r>
          </w:p>
        </w:tc>
        <w:tc>
          <w:tcPr>
            <w:tcW w:w="1980" w:type="dxa"/>
          </w:tcPr>
          <w:p w14:paraId="6C6266A0" w14:textId="77777777" w:rsidR="007B1223" w:rsidRPr="007B1223" w:rsidRDefault="007B1223" w:rsidP="007B1223">
            <w:pPr>
              <w:spacing w:after="0" w:line="240" w:lineRule="auto"/>
              <w:rPr>
                <w:rFonts w:ascii="Calibri" w:eastAsia="SimSun" w:hAnsi="Calibri" w:cs="Calibri"/>
                <w:sz w:val="18"/>
                <w:szCs w:val="18"/>
                <w:lang w:val="en-US"/>
              </w:rPr>
            </w:pPr>
            <w:r w:rsidRPr="007B1223">
              <w:rPr>
                <w:rFonts w:ascii="Calibri" w:eastAsia="SimSun" w:hAnsi="Calibri" w:cs="Calibri"/>
                <w:sz w:val="18"/>
                <w:szCs w:val="18"/>
                <w:lang w:val="en-US"/>
              </w:rPr>
              <w:t>Project Manager</w:t>
            </w:r>
          </w:p>
        </w:tc>
        <w:tc>
          <w:tcPr>
            <w:tcW w:w="1350" w:type="dxa"/>
          </w:tcPr>
          <w:p w14:paraId="16080BDA"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None</w:t>
            </w:r>
          </w:p>
        </w:tc>
        <w:tc>
          <w:tcPr>
            <w:tcW w:w="1170" w:type="dxa"/>
          </w:tcPr>
          <w:p w14:paraId="4DBB6A42"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None</w:t>
            </w:r>
          </w:p>
        </w:tc>
        <w:tc>
          <w:tcPr>
            <w:tcW w:w="1705" w:type="dxa"/>
          </w:tcPr>
          <w:p w14:paraId="29E84B6E"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Within two weeks of inception workshop</w:t>
            </w:r>
          </w:p>
        </w:tc>
      </w:tr>
      <w:tr w:rsidR="007B1223" w:rsidRPr="007B1223" w14:paraId="0479C1AE" w14:textId="77777777" w:rsidTr="005808BA">
        <w:trPr>
          <w:jc w:val="center"/>
        </w:trPr>
        <w:tc>
          <w:tcPr>
            <w:tcW w:w="3145" w:type="dxa"/>
          </w:tcPr>
          <w:p w14:paraId="2ADD1207"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Standard UNDP monitoring and reporting requirements as outlined in the UNDP POPP</w:t>
            </w:r>
          </w:p>
        </w:tc>
        <w:tc>
          <w:tcPr>
            <w:tcW w:w="1980" w:type="dxa"/>
          </w:tcPr>
          <w:p w14:paraId="7E09521C" w14:textId="77777777" w:rsidR="007B1223" w:rsidRPr="007B1223" w:rsidRDefault="007B1223" w:rsidP="007B1223">
            <w:pPr>
              <w:spacing w:after="0" w:line="240" w:lineRule="auto"/>
              <w:rPr>
                <w:rFonts w:ascii="Calibri" w:eastAsia="SimSun" w:hAnsi="Calibri" w:cs="Calibri"/>
                <w:sz w:val="18"/>
                <w:szCs w:val="18"/>
                <w:lang w:val="en-US"/>
              </w:rPr>
            </w:pPr>
            <w:r w:rsidRPr="007B1223">
              <w:rPr>
                <w:rFonts w:ascii="Calibri" w:eastAsia="SimSun" w:hAnsi="Calibri" w:cs="Calibri"/>
                <w:sz w:val="18"/>
                <w:szCs w:val="18"/>
                <w:lang w:val="en-US"/>
              </w:rPr>
              <w:t>UNDP Country Office</w:t>
            </w:r>
          </w:p>
          <w:p w14:paraId="469FE585" w14:textId="77777777" w:rsidR="007B1223" w:rsidRPr="007B1223" w:rsidRDefault="007B1223" w:rsidP="007B1223">
            <w:pPr>
              <w:spacing w:after="0" w:line="240" w:lineRule="auto"/>
              <w:rPr>
                <w:rFonts w:ascii="Calibri" w:eastAsia="SimSun" w:hAnsi="Calibri" w:cs="Calibri"/>
                <w:b/>
                <w:sz w:val="18"/>
                <w:szCs w:val="18"/>
                <w:lang w:val="en-US"/>
              </w:rPr>
            </w:pPr>
          </w:p>
        </w:tc>
        <w:tc>
          <w:tcPr>
            <w:tcW w:w="1350" w:type="dxa"/>
          </w:tcPr>
          <w:p w14:paraId="7F350823"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None</w:t>
            </w:r>
          </w:p>
        </w:tc>
        <w:tc>
          <w:tcPr>
            <w:tcW w:w="1170" w:type="dxa"/>
          </w:tcPr>
          <w:p w14:paraId="30862B57"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None</w:t>
            </w:r>
          </w:p>
        </w:tc>
        <w:tc>
          <w:tcPr>
            <w:tcW w:w="1705" w:type="dxa"/>
          </w:tcPr>
          <w:p w14:paraId="26396F91"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Quarterly, annually</w:t>
            </w:r>
          </w:p>
        </w:tc>
      </w:tr>
      <w:tr w:rsidR="007B1223" w:rsidRPr="007B1223" w14:paraId="2A75C912" w14:textId="77777777" w:rsidTr="005808BA">
        <w:trPr>
          <w:jc w:val="center"/>
        </w:trPr>
        <w:tc>
          <w:tcPr>
            <w:tcW w:w="3145" w:type="dxa"/>
          </w:tcPr>
          <w:p w14:paraId="4E07E5EF"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 xml:space="preserve">Monitoring of indicators in project results framework </w:t>
            </w:r>
            <w:r w:rsidRPr="007B1223">
              <w:rPr>
                <w:rFonts w:ascii="Calibri" w:eastAsia="SimSun" w:hAnsi="Calibri" w:cs="Calibri"/>
                <w:b/>
                <w:i/>
                <w:sz w:val="18"/>
                <w:szCs w:val="18"/>
                <w:lang w:val="en-US"/>
              </w:rPr>
              <w:t>NIMOS</w:t>
            </w:r>
          </w:p>
        </w:tc>
        <w:tc>
          <w:tcPr>
            <w:tcW w:w="1980" w:type="dxa"/>
          </w:tcPr>
          <w:p w14:paraId="200CE4BB" w14:textId="77777777" w:rsidR="007B1223" w:rsidRPr="007B1223" w:rsidRDefault="007B1223" w:rsidP="007B1223">
            <w:pPr>
              <w:spacing w:after="0" w:line="240" w:lineRule="auto"/>
              <w:rPr>
                <w:rFonts w:ascii="Calibri" w:eastAsia="SimSun" w:hAnsi="Calibri" w:cs="Calibri"/>
                <w:sz w:val="18"/>
                <w:szCs w:val="18"/>
                <w:lang w:val="en-US"/>
              </w:rPr>
            </w:pPr>
            <w:r w:rsidRPr="007B1223">
              <w:rPr>
                <w:rFonts w:ascii="Calibri" w:eastAsia="SimSun" w:hAnsi="Calibri" w:cs="Calibri"/>
                <w:sz w:val="18"/>
                <w:szCs w:val="18"/>
                <w:lang w:val="en-US"/>
              </w:rPr>
              <w:t>Project Manager</w:t>
            </w:r>
          </w:p>
          <w:p w14:paraId="29AFAAC8" w14:textId="77777777" w:rsidR="007B1223" w:rsidRPr="007B1223" w:rsidRDefault="007B1223" w:rsidP="007B1223">
            <w:pPr>
              <w:spacing w:after="0" w:line="240" w:lineRule="auto"/>
              <w:rPr>
                <w:rFonts w:ascii="Calibri" w:eastAsia="SimSun" w:hAnsi="Calibri" w:cs="Calibri"/>
                <w:sz w:val="18"/>
                <w:szCs w:val="18"/>
                <w:lang w:val="en-US"/>
              </w:rPr>
            </w:pPr>
          </w:p>
        </w:tc>
        <w:tc>
          <w:tcPr>
            <w:tcW w:w="1350" w:type="dxa"/>
          </w:tcPr>
          <w:p w14:paraId="5337941F" w14:textId="105D7A7E" w:rsidR="007B1223" w:rsidRPr="007B1223" w:rsidRDefault="00217F27" w:rsidP="00DA2956">
            <w:pPr>
              <w:spacing w:after="0" w:line="240" w:lineRule="auto"/>
              <w:rPr>
                <w:rFonts w:ascii="Calibri" w:eastAsia="SimSun" w:hAnsi="Calibri" w:cs="Calibri"/>
                <w:sz w:val="18"/>
                <w:szCs w:val="18"/>
                <w:lang w:val="en-GB"/>
              </w:rPr>
            </w:pPr>
            <w:r>
              <w:rPr>
                <w:rFonts w:ascii="Calibri" w:eastAsia="SimSun" w:hAnsi="Calibri" w:cs="Calibri"/>
                <w:sz w:val="18"/>
                <w:szCs w:val="18"/>
                <w:lang w:val="en-GB"/>
              </w:rPr>
              <w:t xml:space="preserve">Per year: USD </w:t>
            </w:r>
            <w:r w:rsidR="00DA2956">
              <w:rPr>
                <w:rFonts w:ascii="Calibri" w:eastAsia="SimSun" w:hAnsi="Calibri" w:cs="Calibri"/>
                <w:sz w:val="18"/>
                <w:szCs w:val="18"/>
                <w:lang w:val="en-GB"/>
              </w:rPr>
              <w:t>9</w:t>
            </w:r>
            <w:r w:rsidR="007B1223" w:rsidRPr="007B1223">
              <w:rPr>
                <w:rFonts w:ascii="Calibri" w:eastAsia="SimSun" w:hAnsi="Calibri" w:cs="Calibri"/>
                <w:sz w:val="18"/>
                <w:szCs w:val="18"/>
                <w:lang w:val="en-GB"/>
              </w:rPr>
              <w:t>,000</w:t>
            </w:r>
          </w:p>
        </w:tc>
        <w:tc>
          <w:tcPr>
            <w:tcW w:w="1170" w:type="dxa"/>
          </w:tcPr>
          <w:p w14:paraId="163A3E75" w14:textId="77777777" w:rsidR="007B1223" w:rsidRPr="007B1223" w:rsidRDefault="007B1223" w:rsidP="007B1223">
            <w:pPr>
              <w:spacing w:after="0" w:line="240" w:lineRule="auto"/>
              <w:rPr>
                <w:rFonts w:ascii="Calibri" w:eastAsia="SimSun" w:hAnsi="Calibri" w:cs="Calibri"/>
                <w:i/>
                <w:sz w:val="18"/>
                <w:szCs w:val="18"/>
                <w:lang w:val="en-GB"/>
              </w:rPr>
            </w:pPr>
            <w:r w:rsidRPr="007B1223">
              <w:rPr>
                <w:rFonts w:ascii="Calibri" w:eastAsia="SimSun" w:hAnsi="Calibri" w:cs="Calibri"/>
                <w:sz w:val="18"/>
                <w:szCs w:val="18"/>
                <w:lang w:val="en-GB"/>
              </w:rPr>
              <w:t>None</w:t>
            </w:r>
          </w:p>
        </w:tc>
        <w:tc>
          <w:tcPr>
            <w:tcW w:w="1705" w:type="dxa"/>
          </w:tcPr>
          <w:p w14:paraId="537AD622"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 xml:space="preserve">Annually </w:t>
            </w:r>
          </w:p>
        </w:tc>
      </w:tr>
      <w:tr w:rsidR="007B1223" w:rsidRPr="007B1223" w14:paraId="24D74076" w14:textId="77777777" w:rsidTr="005808BA">
        <w:trPr>
          <w:jc w:val="center"/>
        </w:trPr>
        <w:tc>
          <w:tcPr>
            <w:tcW w:w="3145" w:type="dxa"/>
          </w:tcPr>
          <w:p w14:paraId="03AF6E8A"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 xml:space="preserve">GEF Project Implementation Report (PIR) </w:t>
            </w:r>
          </w:p>
        </w:tc>
        <w:tc>
          <w:tcPr>
            <w:tcW w:w="1980" w:type="dxa"/>
          </w:tcPr>
          <w:p w14:paraId="7C30640B" w14:textId="77777777" w:rsidR="007B1223" w:rsidRPr="007B1223" w:rsidRDefault="007B1223" w:rsidP="007B1223">
            <w:pPr>
              <w:spacing w:after="0" w:line="240" w:lineRule="auto"/>
              <w:rPr>
                <w:rFonts w:ascii="Calibri" w:eastAsia="SimSun" w:hAnsi="Calibri" w:cs="Calibri"/>
                <w:sz w:val="18"/>
                <w:szCs w:val="18"/>
                <w:lang w:val="en-US"/>
              </w:rPr>
            </w:pPr>
            <w:r w:rsidRPr="007B1223">
              <w:rPr>
                <w:rFonts w:ascii="Calibri" w:eastAsia="SimSun" w:hAnsi="Calibri" w:cs="Calibri"/>
                <w:sz w:val="18"/>
                <w:szCs w:val="18"/>
                <w:lang w:val="en-US"/>
              </w:rPr>
              <w:t>Project Manager and UNDP Country Office and UNDP-GEF team</w:t>
            </w:r>
          </w:p>
        </w:tc>
        <w:tc>
          <w:tcPr>
            <w:tcW w:w="1350" w:type="dxa"/>
          </w:tcPr>
          <w:p w14:paraId="677AF7E0"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p>
        </w:tc>
        <w:tc>
          <w:tcPr>
            <w:tcW w:w="1170" w:type="dxa"/>
          </w:tcPr>
          <w:p w14:paraId="73842C35"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p>
        </w:tc>
        <w:tc>
          <w:tcPr>
            <w:tcW w:w="1705" w:type="dxa"/>
          </w:tcPr>
          <w:p w14:paraId="30A0D34F"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 xml:space="preserve">Annually </w:t>
            </w:r>
          </w:p>
        </w:tc>
      </w:tr>
      <w:tr w:rsidR="007B1223" w:rsidRPr="00EE3E21" w14:paraId="1D01D55B" w14:textId="77777777" w:rsidTr="005808BA">
        <w:trPr>
          <w:jc w:val="center"/>
        </w:trPr>
        <w:tc>
          <w:tcPr>
            <w:tcW w:w="3145" w:type="dxa"/>
          </w:tcPr>
          <w:p w14:paraId="70D0C2A2" w14:textId="77777777" w:rsidR="007B1223" w:rsidRPr="00B54884" w:rsidRDefault="007B1223" w:rsidP="007B1223">
            <w:pPr>
              <w:spacing w:after="60" w:line="240" w:lineRule="auto"/>
              <w:rPr>
                <w:rFonts w:ascii="Calibri" w:eastAsia="SimSun" w:hAnsi="Calibri" w:cs="Calibri"/>
                <w:b/>
                <w:sz w:val="18"/>
                <w:szCs w:val="18"/>
                <w:lang w:val="en-US"/>
              </w:rPr>
            </w:pPr>
            <w:r w:rsidRPr="00B54884">
              <w:rPr>
                <w:rFonts w:ascii="Calibri" w:eastAsia="SimSun" w:hAnsi="Calibri" w:cs="Calibri"/>
                <w:b/>
                <w:sz w:val="18"/>
                <w:szCs w:val="18"/>
                <w:lang w:val="en-US"/>
              </w:rPr>
              <w:t>HACT Audit as per UNDP audit policies</w:t>
            </w:r>
          </w:p>
        </w:tc>
        <w:tc>
          <w:tcPr>
            <w:tcW w:w="1980" w:type="dxa"/>
          </w:tcPr>
          <w:p w14:paraId="13C7C3E7" w14:textId="77777777" w:rsidR="007B1223" w:rsidRPr="00B54884" w:rsidRDefault="007B1223" w:rsidP="007B1223">
            <w:pPr>
              <w:spacing w:after="0" w:line="240" w:lineRule="auto"/>
              <w:rPr>
                <w:rFonts w:ascii="Calibri" w:eastAsia="SimSun" w:hAnsi="Calibri" w:cs="Calibri"/>
                <w:sz w:val="18"/>
                <w:szCs w:val="18"/>
                <w:lang w:val="en-US"/>
              </w:rPr>
            </w:pPr>
            <w:r w:rsidRPr="00B54884">
              <w:rPr>
                <w:rFonts w:ascii="Calibri" w:eastAsia="SimSun" w:hAnsi="Calibri" w:cs="Calibri"/>
                <w:sz w:val="18"/>
                <w:szCs w:val="18"/>
                <w:lang w:val="en-US"/>
              </w:rPr>
              <w:t>UNDP Country Office</w:t>
            </w:r>
          </w:p>
        </w:tc>
        <w:tc>
          <w:tcPr>
            <w:tcW w:w="1350" w:type="dxa"/>
          </w:tcPr>
          <w:p w14:paraId="71B342EA" w14:textId="1FD9E694" w:rsidR="007B1223" w:rsidRPr="00B54884" w:rsidRDefault="007B1223" w:rsidP="00A65C68">
            <w:pPr>
              <w:spacing w:after="60" w:line="240" w:lineRule="auto"/>
              <w:rPr>
                <w:rFonts w:ascii="Calibri" w:eastAsia="SimSun" w:hAnsi="Calibri" w:cs="Calibri"/>
                <w:sz w:val="18"/>
                <w:szCs w:val="18"/>
                <w:lang w:val="en-US"/>
              </w:rPr>
            </w:pPr>
            <w:r w:rsidRPr="00B54884">
              <w:rPr>
                <w:rFonts w:ascii="Calibri" w:eastAsia="SimSun" w:hAnsi="Calibri" w:cs="Calibri"/>
                <w:sz w:val="18"/>
                <w:szCs w:val="18"/>
                <w:lang w:val="en-US"/>
              </w:rPr>
              <w:t xml:space="preserve">USD </w:t>
            </w:r>
            <w:r w:rsidR="00A65C68" w:rsidRPr="00B54884">
              <w:rPr>
                <w:rFonts w:ascii="Calibri" w:eastAsia="SimSun" w:hAnsi="Calibri" w:cs="Calibri"/>
                <w:sz w:val="18"/>
                <w:szCs w:val="18"/>
                <w:lang w:val="en-US"/>
              </w:rPr>
              <w:t>1</w:t>
            </w:r>
            <w:r w:rsidRPr="00B54884">
              <w:rPr>
                <w:rFonts w:ascii="Calibri" w:eastAsia="SimSun" w:hAnsi="Calibri" w:cs="Calibri"/>
                <w:sz w:val="18"/>
                <w:szCs w:val="18"/>
                <w:lang w:val="en-US"/>
              </w:rPr>
              <w:t xml:space="preserve">,500 </w:t>
            </w:r>
          </w:p>
        </w:tc>
        <w:tc>
          <w:tcPr>
            <w:tcW w:w="1170" w:type="dxa"/>
          </w:tcPr>
          <w:p w14:paraId="051B0E96" w14:textId="77777777" w:rsidR="007B1223" w:rsidRPr="00B54884" w:rsidRDefault="007B1223" w:rsidP="007B1223">
            <w:pPr>
              <w:spacing w:after="60" w:line="240" w:lineRule="auto"/>
              <w:rPr>
                <w:rFonts w:ascii="Calibri" w:eastAsia="SimSun" w:hAnsi="Calibri" w:cs="Calibri"/>
                <w:i/>
                <w:sz w:val="18"/>
                <w:szCs w:val="18"/>
                <w:lang w:val="en-US"/>
              </w:rPr>
            </w:pPr>
            <w:r w:rsidRPr="00B54884">
              <w:rPr>
                <w:rFonts w:ascii="Calibri" w:eastAsia="SimSun" w:hAnsi="Calibri" w:cs="Calibri"/>
                <w:sz w:val="18"/>
                <w:szCs w:val="18"/>
                <w:lang w:val="en-GB"/>
              </w:rPr>
              <w:t>None</w:t>
            </w:r>
          </w:p>
        </w:tc>
        <w:tc>
          <w:tcPr>
            <w:tcW w:w="1705" w:type="dxa"/>
          </w:tcPr>
          <w:p w14:paraId="7A0B4277" w14:textId="77777777" w:rsidR="007B1223" w:rsidRPr="00B54884" w:rsidRDefault="007B1223" w:rsidP="007B1223">
            <w:pPr>
              <w:spacing w:after="60" w:line="240" w:lineRule="auto"/>
              <w:rPr>
                <w:rFonts w:ascii="Calibri" w:eastAsia="SimSun" w:hAnsi="Calibri" w:cs="Calibri"/>
                <w:sz w:val="18"/>
                <w:szCs w:val="18"/>
                <w:lang w:val="en-US"/>
              </w:rPr>
            </w:pPr>
            <w:r w:rsidRPr="00B54884">
              <w:rPr>
                <w:rFonts w:ascii="Calibri" w:eastAsia="SimSun" w:hAnsi="Calibri" w:cs="Calibri"/>
                <w:sz w:val="18"/>
                <w:szCs w:val="18"/>
                <w:lang w:val="en-US"/>
              </w:rPr>
              <w:t>Annually or other frequency as per UNDP Audit policies</w:t>
            </w:r>
          </w:p>
        </w:tc>
      </w:tr>
      <w:tr w:rsidR="007B1223" w:rsidRPr="007B1223" w14:paraId="3E694C1A" w14:textId="77777777" w:rsidTr="005808BA">
        <w:trPr>
          <w:jc w:val="center"/>
        </w:trPr>
        <w:tc>
          <w:tcPr>
            <w:tcW w:w="3145" w:type="dxa"/>
          </w:tcPr>
          <w:p w14:paraId="6A62BCED"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Supervision missions</w:t>
            </w:r>
          </w:p>
        </w:tc>
        <w:tc>
          <w:tcPr>
            <w:tcW w:w="1980" w:type="dxa"/>
          </w:tcPr>
          <w:p w14:paraId="68F6CB21" w14:textId="77777777" w:rsidR="007B1223" w:rsidRPr="007B1223" w:rsidRDefault="007B1223" w:rsidP="007B1223">
            <w:pPr>
              <w:spacing w:after="0" w:line="240" w:lineRule="auto"/>
              <w:rPr>
                <w:rFonts w:ascii="Calibri" w:eastAsia="SimSun" w:hAnsi="Calibri" w:cs="Calibri"/>
                <w:b/>
                <w:sz w:val="18"/>
                <w:szCs w:val="18"/>
                <w:lang w:val="en-US"/>
              </w:rPr>
            </w:pPr>
            <w:r w:rsidRPr="007B1223">
              <w:rPr>
                <w:rFonts w:ascii="Calibri" w:eastAsia="SimSun" w:hAnsi="Calibri" w:cs="Calibri"/>
                <w:sz w:val="18"/>
                <w:szCs w:val="18"/>
                <w:lang w:val="en-US"/>
              </w:rPr>
              <w:t>UNDP Country Office</w:t>
            </w:r>
          </w:p>
        </w:tc>
        <w:tc>
          <w:tcPr>
            <w:tcW w:w="1350" w:type="dxa"/>
          </w:tcPr>
          <w:p w14:paraId="5EDB9491"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bookmarkStart w:id="20" w:name="_Ref408493843"/>
            <w:r w:rsidRPr="007B1223">
              <w:rPr>
                <w:rFonts w:ascii="Calibri" w:eastAsia="SimSun" w:hAnsi="Calibri" w:cs="Times New Roman"/>
                <w:b/>
                <w:snapToGrid w:val="0"/>
                <w:sz w:val="18"/>
                <w:szCs w:val="18"/>
                <w:vertAlign w:val="superscript"/>
                <w:lang w:val="en-US"/>
              </w:rPr>
              <w:footnoteReference w:id="9"/>
            </w:r>
            <w:bookmarkEnd w:id="20"/>
          </w:p>
        </w:tc>
        <w:tc>
          <w:tcPr>
            <w:tcW w:w="1170" w:type="dxa"/>
          </w:tcPr>
          <w:p w14:paraId="28DF67E0"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p>
        </w:tc>
        <w:tc>
          <w:tcPr>
            <w:tcW w:w="1705" w:type="dxa"/>
          </w:tcPr>
          <w:p w14:paraId="1DA0D71E"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Annually</w:t>
            </w:r>
          </w:p>
        </w:tc>
      </w:tr>
      <w:tr w:rsidR="007B1223" w:rsidRPr="007B1223" w14:paraId="5978D3FE" w14:textId="77777777" w:rsidTr="005808BA">
        <w:trPr>
          <w:jc w:val="center"/>
        </w:trPr>
        <w:tc>
          <w:tcPr>
            <w:tcW w:w="3145" w:type="dxa"/>
          </w:tcPr>
          <w:p w14:paraId="68994FBE"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Oversight missions</w:t>
            </w:r>
          </w:p>
        </w:tc>
        <w:tc>
          <w:tcPr>
            <w:tcW w:w="1980" w:type="dxa"/>
          </w:tcPr>
          <w:p w14:paraId="5C95251B" w14:textId="77777777" w:rsidR="007B1223" w:rsidRPr="007B1223" w:rsidRDefault="007B1223" w:rsidP="007B1223">
            <w:pPr>
              <w:spacing w:after="0" w:line="240" w:lineRule="auto"/>
              <w:rPr>
                <w:rFonts w:ascii="Calibri" w:eastAsia="SimSun" w:hAnsi="Calibri" w:cs="Calibri"/>
                <w:b/>
                <w:sz w:val="18"/>
                <w:szCs w:val="18"/>
                <w:lang w:val="en-US"/>
              </w:rPr>
            </w:pPr>
            <w:r w:rsidRPr="007B1223">
              <w:rPr>
                <w:rFonts w:ascii="Calibri" w:eastAsia="SimSun" w:hAnsi="Calibri" w:cs="Calibri"/>
                <w:sz w:val="18"/>
                <w:szCs w:val="18"/>
                <w:lang w:val="en-US"/>
              </w:rPr>
              <w:t>UNDP-GEF team</w:t>
            </w:r>
          </w:p>
        </w:tc>
        <w:tc>
          <w:tcPr>
            <w:tcW w:w="1350" w:type="dxa"/>
          </w:tcPr>
          <w:p w14:paraId="60BD6B07" w14:textId="09D484BD"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r w:rsidRPr="007B1223">
              <w:rPr>
                <w:rFonts w:ascii="Calibri" w:eastAsia="SimSun" w:hAnsi="Calibri" w:cs="Calibri"/>
                <w:sz w:val="18"/>
                <w:szCs w:val="18"/>
                <w:lang w:val="en-GB"/>
              </w:rPr>
              <w:fldChar w:fldCharType="begin"/>
            </w:r>
            <w:r w:rsidRPr="007B1223">
              <w:rPr>
                <w:rFonts w:ascii="Calibri" w:eastAsia="SimSun" w:hAnsi="Calibri" w:cs="Calibri"/>
                <w:sz w:val="18"/>
                <w:szCs w:val="18"/>
                <w:lang w:val="en-GB"/>
              </w:rPr>
              <w:instrText xml:space="preserve"> NOTEREF _Ref408493843 \f \h </w:instrText>
            </w:r>
            <w:r w:rsidRPr="007B1223">
              <w:rPr>
                <w:rFonts w:ascii="Calibri" w:eastAsia="SimSun" w:hAnsi="Calibri" w:cs="Calibri"/>
                <w:sz w:val="18"/>
                <w:szCs w:val="18"/>
                <w:lang w:val="en-GB"/>
              </w:rPr>
            </w:r>
            <w:r w:rsidRPr="007B1223">
              <w:rPr>
                <w:rFonts w:ascii="Calibri" w:eastAsia="SimSun" w:hAnsi="Calibri" w:cs="Calibri"/>
                <w:sz w:val="18"/>
                <w:szCs w:val="18"/>
                <w:lang w:val="en-GB"/>
              </w:rPr>
              <w:fldChar w:fldCharType="separate"/>
            </w:r>
            <w:r w:rsidR="007441D5" w:rsidRPr="007441D5">
              <w:rPr>
                <w:rStyle w:val="FootnoteReference"/>
              </w:rPr>
              <w:t>9</w:t>
            </w:r>
            <w:r w:rsidRPr="007B1223">
              <w:rPr>
                <w:rFonts w:ascii="Calibri" w:eastAsia="SimSun" w:hAnsi="Calibri" w:cs="Calibri"/>
                <w:sz w:val="18"/>
                <w:szCs w:val="18"/>
                <w:lang w:val="en-GB"/>
              </w:rPr>
              <w:fldChar w:fldCharType="end"/>
            </w:r>
          </w:p>
        </w:tc>
        <w:tc>
          <w:tcPr>
            <w:tcW w:w="1170" w:type="dxa"/>
          </w:tcPr>
          <w:p w14:paraId="5DBFCCCC"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p>
        </w:tc>
        <w:tc>
          <w:tcPr>
            <w:tcW w:w="1705" w:type="dxa"/>
          </w:tcPr>
          <w:p w14:paraId="2220A579"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Troubleshooting as needed</w:t>
            </w:r>
          </w:p>
        </w:tc>
      </w:tr>
      <w:tr w:rsidR="007B1223" w:rsidRPr="007B1223" w14:paraId="0975DEF0" w14:textId="77777777" w:rsidTr="005808BA">
        <w:trPr>
          <w:jc w:val="center"/>
        </w:trPr>
        <w:tc>
          <w:tcPr>
            <w:tcW w:w="3145" w:type="dxa"/>
          </w:tcPr>
          <w:p w14:paraId="0B69AA97"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 xml:space="preserve">GEF Secretariat learning missions/site visits </w:t>
            </w:r>
          </w:p>
        </w:tc>
        <w:tc>
          <w:tcPr>
            <w:tcW w:w="1980" w:type="dxa"/>
          </w:tcPr>
          <w:p w14:paraId="6FC22B3C" w14:textId="77777777" w:rsidR="007B1223" w:rsidRPr="007B1223" w:rsidRDefault="007B1223" w:rsidP="007B1223">
            <w:pPr>
              <w:spacing w:after="0" w:line="240" w:lineRule="auto"/>
              <w:rPr>
                <w:rFonts w:ascii="Calibri" w:eastAsia="SimSun" w:hAnsi="Calibri" w:cs="Calibri"/>
                <w:sz w:val="18"/>
                <w:szCs w:val="18"/>
                <w:lang w:val="en-US"/>
              </w:rPr>
            </w:pPr>
            <w:r w:rsidRPr="007B1223">
              <w:rPr>
                <w:rFonts w:ascii="Calibri" w:eastAsia="SimSun" w:hAnsi="Calibri" w:cs="Calibri"/>
                <w:sz w:val="18"/>
                <w:szCs w:val="18"/>
                <w:lang w:val="en-US"/>
              </w:rPr>
              <w:t>Project Manager and UNDP-GEF team</w:t>
            </w:r>
          </w:p>
        </w:tc>
        <w:tc>
          <w:tcPr>
            <w:tcW w:w="1350" w:type="dxa"/>
          </w:tcPr>
          <w:p w14:paraId="07018879"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p>
        </w:tc>
        <w:tc>
          <w:tcPr>
            <w:tcW w:w="1170" w:type="dxa"/>
          </w:tcPr>
          <w:p w14:paraId="60DD3E2E" w14:textId="77777777" w:rsidR="007B1223" w:rsidRPr="007B1223" w:rsidRDefault="007B1223" w:rsidP="007B1223">
            <w:pPr>
              <w:spacing w:after="0" w:line="240" w:lineRule="auto"/>
              <w:rPr>
                <w:rFonts w:ascii="Calibri" w:eastAsia="SimSun" w:hAnsi="Calibri" w:cs="Calibri"/>
                <w:sz w:val="18"/>
                <w:szCs w:val="18"/>
                <w:lang w:val="en-GB"/>
              </w:rPr>
            </w:pPr>
            <w:r w:rsidRPr="007B1223">
              <w:rPr>
                <w:rFonts w:ascii="Calibri" w:eastAsia="SimSun" w:hAnsi="Calibri" w:cs="Calibri"/>
                <w:sz w:val="18"/>
                <w:szCs w:val="18"/>
                <w:lang w:val="en-GB"/>
              </w:rPr>
              <w:t>None</w:t>
            </w:r>
          </w:p>
        </w:tc>
        <w:tc>
          <w:tcPr>
            <w:tcW w:w="1705" w:type="dxa"/>
          </w:tcPr>
          <w:p w14:paraId="22A75BB4"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To be determined.</w:t>
            </w:r>
          </w:p>
        </w:tc>
      </w:tr>
      <w:tr w:rsidR="007B1223" w:rsidRPr="007B1223" w14:paraId="453C0936" w14:textId="77777777" w:rsidTr="005808BA">
        <w:trPr>
          <w:cantSplit/>
          <w:trHeight w:val="710"/>
          <w:jc w:val="center"/>
        </w:trPr>
        <w:tc>
          <w:tcPr>
            <w:tcW w:w="5125" w:type="dxa"/>
            <w:gridSpan w:val="2"/>
            <w:shd w:val="clear" w:color="auto" w:fill="E6E6E6"/>
          </w:tcPr>
          <w:p w14:paraId="09F648CD" w14:textId="77777777" w:rsidR="007B1223" w:rsidRPr="007B1223" w:rsidRDefault="007B1223" w:rsidP="007B1223">
            <w:pPr>
              <w:spacing w:after="60" w:line="240" w:lineRule="auto"/>
              <w:rPr>
                <w:rFonts w:ascii="Calibri" w:eastAsia="SimSun" w:hAnsi="Calibri" w:cs="Calibri"/>
                <w:b/>
                <w:sz w:val="18"/>
                <w:szCs w:val="18"/>
                <w:lang w:val="en-US"/>
              </w:rPr>
            </w:pPr>
            <w:r w:rsidRPr="007B1223">
              <w:rPr>
                <w:rFonts w:ascii="Calibri" w:eastAsia="SimSun" w:hAnsi="Calibri" w:cs="Calibri"/>
                <w:b/>
                <w:sz w:val="18"/>
                <w:szCs w:val="18"/>
                <w:lang w:val="en-US"/>
              </w:rPr>
              <w:t xml:space="preserve">TOTAL indicative COST </w:t>
            </w:r>
          </w:p>
          <w:p w14:paraId="48538902" w14:textId="77777777" w:rsidR="007B1223" w:rsidRPr="007B1223" w:rsidRDefault="007B1223" w:rsidP="007B1223">
            <w:pPr>
              <w:spacing w:after="60" w:line="240" w:lineRule="auto"/>
              <w:rPr>
                <w:rFonts w:ascii="Calibri" w:eastAsia="SimSun" w:hAnsi="Calibri" w:cs="Calibri"/>
                <w:sz w:val="18"/>
                <w:szCs w:val="18"/>
                <w:lang w:val="en-US"/>
              </w:rPr>
            </w:pPr>
            <w:r w:rsidRPr="007B1223">
              <w:rPr>
                <w:rFonts w:ascii="Calibri" w:eastAsia="SimSun" w:hAnsi="Calibri" w:cs="Calibri"/>
                <w:sz w:val="18"/>
                <w:szCs w:val="18"/>
                <w:lang w:val="en-US"/>
              </w:rPr>
              <w:t xml:space="preserve">Excluding project team staff time, and UNDP staff and travel expenses </w:t>
            </w:r>
          </w:p>
        </w:tc>
        <w:tc>
          <w:tcPr>
            <w:tcW w:w="1350" w:type="dxa"/>
            <w:shd w:val="clear" w:color="auto" w:fill="E6E6E6"/>
          </w:tcPr>
          <w:p w14:paraId="47BBF5D5" w14:textId="2957AD03" w:rsidR="007B1223" w:rsidRPr="007B1223" w:rsidRDefault="00DA2956" w:rsidP="00DA2956">
            <w:pPr>
              <w:spacing w:after="60" w:line="240" w:lineRule="auto"/>
              <w:rPr>
                <w:rFonts w:ascii="Calibri" w:eastAsia="SimSun" w:hAnsi="Calibri" w:cs="Calibri"/>
                <w:i/>
                <w:sz w:val="18"/>
                <w:szCs w:val="18"/>
                <w:lang w:val="en-US"/>
              </w:rPr>
            </w:pPr>
            <w:r>
              <w:rPr>
                <w:rFonts w:ascii="Calibri" w:eastAsia="SimSun" w:hAnsi="Calibri" w:cs="Calibri"/>
                <w:i/>
                <w:sz w:val="18"/>
                <w:szCs w:val="18"/>
                <w:lang w:val="en-US"/>
              </w:rPr>
              <w:t>1</w:t>
            </w:r>
            <w:r w:rsidR="00A65C68">
              <w:rPr>
                <w:rFonts w:ascii="Calibri" w:eastAsia="SimSun" w:hAnsi="Calibri" w:cs="Calibri"/>
                <w:i/>
                <w:sz w:val="18"/>
                <w:szCs w:val="18"/>
                <w:lang w:val="en-US"/>
              </w:rPr>
              <w:t>2</w:t>
            </w:r>
            <w:r>
              <w:rPr>
                <w:rFonts w:ascii="Calibri" w:eastAsia="SimSun" w:hAnsi="Calibri" w:cs="Calibri"/>
                <w:i/>
                <w:sz w:val="18"/>
                <w:szCs w:val="18"/>
                <w:lang w:val="en-US"/>
              </w:rPr>
              <w:t>,</w:t>
            </w:r>
            <w:r w:rsidR="00A65C68">
              <w:rPr>
                <w:rFonts w:ascii="Calibri" w:eastAsia="SimSun" w:hAnsi="Calibri" w:cs="Calibri"/>
                <w:i/>
                <w:sz w:val="18"/>
                <w:szCs w:val="18"/>
                <w:lang w:val="en-US"/>
              </w:rPr>
              <w:t>5</w:t>
            </w:r>
            <w:r w:rsidR="007B1223" w:rsidRPr="007B1223">
              <w:rPr>
                <w:rFonts w:ascii="Calibri" w:eastAsia="SimSun" w:hAnsi="Calibri" w:cs="Calibri"/>
                <w:i/>
                <w:sz w:val="18"/>
                <w:szCs w:val="18"/>
                <w:lang w:val="en-US"/>
              </w:rPr>
              <w:t>00</w:t>
            </w:r>
          </w:p>
        </w:tc>
        <w:tc>
          <w:tcPr>
            <w:tcW w:w="1170" w:type="dxa"/>
            <w:shd w:val="clear" w:color="auto" w:fill="E6E6E6"/>
          </w:tcPr>
          <w:p w14:paraId="10D2B9A2" w14:textId="77777777" w:rsidR="007B1223" w:rsidRPr="007B1223" w:rsidRDefault="007B1223" w:rsidP="007B1223">
            <w:pPr>
              <w:spacing w:after="60" w:line="240" w:lineRule="auto"/>
              <w:rPr>
                <w:rFonts w:ascii="Calibri" w:eastAsia="SimSun" w:hAnsi="Calibri" w:cs="Calibri"/>
                <w:i/>
                <w:sz w:val="18"/>
                <w:szCs w:val="18"/>
                <w:highlight w:val="yellow"/>
                <w:lang w:val="en-US"/>
              </w:rPr>
            </w:pPr>
            <w:r w:rsidRPr="007B1223">
              <w:rPr>
                <w:rFonts w:ascii="Calibri" w:eastAsia="SimSun" w:hAnsi="Calibri" w:cs="Calibri"/>
                <w:sz w:val="18"/>
                <w:szCs w:val="18"/>
                <w:lang w:val="en-GB"/>
              </w:rPr>
              <w:t>None</w:t>
            </w:r>
          </w:p>
        </w:tc>
        <w:tc>
          <w:tcPr>
            <w:tcW w:w="1705" w:type="dxa"/>
            <w:shd w:val="clear" w:color="auto" w:fill="E6E6E6"/>
          </w:tcPr>
          <w:p w14:paraId="7F2839BD" w14:textId="77777777" w:rsidR="007B1223" w:rsidRPr="007B1223" w:rsidRDefault="007B1223" w:rsidP="007B1223">
            <w:pPr>
              <w:spacing w:after="60" w:line="240" w:lineRule="auto"/>
              <w:rPr>
                <w:rFonts w:ascii="Calibri" w:eastAsia="SimSun" w:hAnsi="Calibri" w:cs="Calibri"/>
                <w:sz w:val="18"/>
                <w:szCs w:val="18"/>
                <w:highlight w:val="yellow"/>
                <w:lang w:val="en-US"/>
              </w:rPr>
            </w:pPr>
          </w:p>
        </w:tc>
      </w:tr>
    </w:tbl>
    <w:p w14:paraId="2B3A38B5" w14:textId="77777777" w:rsidR="007B1223" w:rsidRDefault="007B1223" w:rsidP="003222D4">
      <w:pPr>
        <w:rPr>
          <w:lang w:val="en-US"/>
        </w:rPr>
      </w:pPr>
    </w:p>
    <w:p w14:paraId="1EBFF429" w14:textId="77777777" w:rsidR="005808BA" w:rsidRPr="006451BA" w:rsidRDefault="005808BA" w:rsidP="00AA15F8">
      <w:pPr>
        <w:pStyle w:val="Heading1"/>
        <w:numPr>
          <w:ilvl w:val="0"/>
          <w:numId w:val="26"/>
        </w:numPr>
      </w:pPr>
      <w:bookmarkStart w:id="21" w:name="_Toc487589375"/>
      <w:r w:rsidRPr="006451BA">
        <w:lastRenderedPageBreak/>
        <w:t>Governance and Management Arrangements</w:t>
      </w:r>
      <w:bookmarkEnd w:id="21"/>
      <w:r w:rsidRPr="006451BA">
        <w:t xml:space="preserve"> </w:t>
      </w:r>
    </w:p>
    <w:p w14:paraId="45068C68" w14:textId="056F8952" w:rsidR="005808BA" w:rsidRPr="005808BA" w:rsidRDefault="005808BA" w:rsidP="005808BA">
      <w:pPr>
        <w:spacing w:after="240" w:line="240" w:lineRule="auto"/>
        <w:jc w:val="both"/>
        <w:rPr>
          <w:rFonts w:ascii="Calibri" w:eastAsia="SimSun" w:hAnsi="Calibri" w:cs="Arial"/>
          <w:noProof/>
          <w:szCs w:val="20"/>
          <w:lang w:val="en-US" w:eastAsia="zh-CN"/>
        </w:rPr>
      </w:pPr>
      <w:r w:rsidRPr="005808BA">
        <w:rPr>
          <w:rFonts w:ascii="Calibri" w:eastAsia="SimSun" w:hAnsi="Calibri" w:cs="Arial"/>
          <w:noProof/>
          <w:szCs w:val="20"/>
          <w:u w:val="single"/>
          <w:lang w:val="en-US" w:eastAsia="zh-CN"/>
        </w:rPr>
        <w:t>Roles and responsibilities of the project’s governance mechanism</w:t>
      </w:r>
      <w:r w:rsidRPr="005808BA">
        <w:rPr>
          <w:rFonts w:ascii="Calibri" w:eastAsia="SimSun" w:hAnsi="Calibri" w:cs="Arial"/>
          <w:noProof/>
          <w:szCs w:val="20"/>
          <w:lang w:val="en-US" w:eastAsia="zh-CN"/>
        </w:rPr>
        <w:t>:  The project will be implemented following UNDP’s support to national implementation modality,</w:t>
      </w:r>
      <w:r w:rsidRPr="005808BA">
        <w:rPr>
          <w:rFonts w:ascii="Calibri" w:eastAsia="SimSun" w:hAnsi="Calibri" w:cs="Arial"/>
          <w:szCs w:val="20"/>
          <w:lang w:val="en-US"/>
        </w:rPr>
        <w:t xml:space="preserve"> </w:t>
      </w:r>
      <w:r w:rsidR="00477963" w:rsidRPr="005808BA">
        <w:rPr>
          <w:rFonts w:ascii="Calibri" w:eastAsia="SimSun" w:hAnsi="Calibri" w:cs="Arial"/>
          <w:szCs w:val="20"/>
          <w:lang w:val="en-US"/>
        </w:rPr>
        <w:t>per</w:t>
      </w:r>
      <w:r w:rsidRPr="005808BA">
        <w:rPr>
          <w:rFonts w:ascii="Calibri" w:eastAsia="SimSun" w:hAnsi="Calibri" w:cs="Arial"/>
          <w:szCs w:val="20"/>
          <w:lang w:val="en-US"/>
        </w:rPr>
        <w:t xml:space="preserve"> the Standard Basic Assistance Agreement between UNDP and the Government of Suriname</w:t>
      </w:r>
      <w:r w:rsidRPr="005808BA">
        <w:rPr>
          <w:rFonts w:ascii="Calibri" w:eastAsia="SimSun" w:hAnsi="Calibri" w:cs="Arial"/>
          <w:i/>
          <w:szCs w:val="20"/>
          <w:lang w:val="en-US"/>
        </w:rPr>
        <w:t>,</w:t>
      </w:r>
      <w:r w:rsidRPr="005808BA">
        <w:rPr>
          <w:rFonts w:ascii="Calibri" w:eastAsia="SimSun" w:hAnsi="Calibri" w:cs="Arial"/>
          <w:szCs w:val="20"/>
          <w:lang w:val="en-US"/>
        </w:rPr>
        <w:t xml:space="preserve"> and the United Nations </w:t>
      </w:r>
      <w:r w:rsidR="006161D5" w:rsidRPr="006161D5">
        <w:rPr>
          <w:rFonts w:ascii="Calibri" w:eastAsia="SimSun" w:hAnsi="Calibri" w:cs="Arial"/>
          <w:szCs w:val="20"/>
          <w:lang w:val="en-US"/>
        </w:rPr>
        <w:t>Multi-Country Sustainable Development Framework (UNMSDF)</w:t>
      </w:r>
      <w:r w:rsidR="006161D5">
        <w:rPr>
          <w:rFonts w:ascii="Calibri" w:eastAsia="SimSun" w:hAnsi="Calibri" w:cs="Arial"/>
          <w:szCs w:val="20"/>
          <w:lang w:val="en-US"/>
        </w:rPr>
        <w:t xml:space="preserve"> Country Indicative Programme for Suriname</w:t>
      </w:r>
      <w:r w:rsidRPr="005808BA">
        <w:rPr>
          <w:rFonts w:ascii="Calibri" w:eastAsia="SimSun" w:hAnsi="Calibri" w:cs="Arial"/>
          <w:szCs w:val="20"/>
          <w:lang w:val="en-US"/>
        </w:rPr>
        <w:t xml:space="preserve">. </w:t>
      </w:r>
      <w:r w:rsidRPr="005808BA">
        <w:rPr>
          <w:rFonts w:ascii="Calibri" w:eastAsia="SimSun" w:hAnsi="Calibri" w:cs="Arial"/>
          <w:noProof/>
          <w:szCs w:val="20"/>
          <w:lang w:val="en-US" w:eastAsia="zh-CN"/>
        </w:rPr>
        <w:t xml:space="preserve">The </w:t>
      </w:r>
      <w:r w:rsidRPr="005808BA">
        <w:rPr>
          <w:rFonts w:ascii="Calibri" w:eastAsia="SimSun" w:hAnsi="Calibri" w:cs="Arial"/>
          <w:b/>
          <w:noProof/>
          <w:szCs w:val="20"/>
          <w:lang w:val="en-US" w:eastAsia="zh-CN"/>
        </w:rPr>
        <w:t>Implementing Partner</w:t>
      </w:r>
      <w:r w:rsidRPr="005808BA">
        <w:rPr>
          <w:rFonts w:ascii="Calibri" w:eastAsia="SimSun" w:hAnsi="Calibri" w:cs="Arial"/>
          <w:noProof/>
          <w:szCs w:val="20"/>
          <w:lang w:val="en-US" w:eastAsia="zh-CN"/>
        </w:rPr>
        <w:t xml:space="preserve"> for this project is</w:t>
      </w:r>
      <w:r w:rsidR="007A48E6">
        <w:rPr>
          <w:rFonts w:ascii="Calibri" w:eastAsia="SimSun" w:hAnsi="Calibri" w:cs="Arial"/>
          <w:noProof/>
          <w:szCs w:val="20"/>
          <w:lang w:val="en-US" w:eastAsia="zh-CN"/>
        </w:rPr>
        <w:t xml:space="preserve"> the</w:t>
      </w:r>
      <w:r w:rsidRPr="005808BA">
        <w:rPr>
          <w:rFonts w:ascii="Calibri" w:eastAsia="SimSun" w:hAnsi="Calibri" w:cs="Arial"/>
          <w:noProof/>
          <w:szCs w:val="20"/>
          <w:lang w:val="en-US" w:eastAsia="zh-CN"/>
        </w:rPr>
        <w:t xml:space="preserve"> National Institute for Environment and Development</w:t>
      </w:r>
      <w:r w:rsidR="007A48E6">
        <w:rPr>
          <w:rFonts w:ascii="Calibri" w:eastAsia="SimSun" w:hAnsi="Calibri" w:cs="Arial"/>
          <w:noProof/>
          <w:szCs w:val="20"/>
          <w:lang w:val="en-US" w:eastAsia="zh-CN"/>
        </w:rPr>
        <w:t xml:space="preserve"> (NIMOS)</w:t>
      </w:r>
      <w:r w:rsidRPr="005808BA">
        <w:rPr>
          <w:rFonts w:ascii="Calibri" w:eastAsia="SimSun" w:hAnsi="Calibri" w:cs="Arial"/>
          <w:i/>
          <w:noProof/>
          <w:szCs w:val="20"/>
          <w:lang w:val="en-US" w:eastAsia="zh-CN"/>
        </w:rPr>
        <w:t xml:space="preserve">. </w:t>
      </w:r>
      <w:r w:rsidRPr="005808BA">
        <w:rPr>
          <w:rFonts w:ascii="Calibri" w:eastAsia="SimSun" w:hAnsi="Calibri" w:cs="Arial"/>
          <w:noProof/>
          <w:szCs w:val="20"/>
          <w:lang w:val="en-US" w:eastAsia="zh-CN"/>
        </w:rPr>
        <w:t xml:space="preserve">The Implementing Partner is responsible and accountable for managing this project, including the monitoring and evaluation of project interventions, achieving project outcomes, and for the effective use of UNDP resources. </w:t>
      </w:r>
    </w:p>
    <w:p w14:paraId="27453E82" w14:textId="63D5AF4B" w:rsidR="005808BA" w:rsidRPr="005808BA" w:rsidRDefault="005808BA" w:rsidP="005808BA">
      <w:pPr>
        <w:spacing w:after="240" w:line="240" w:lineRule="auto"/>
        <w:jc w:val="both"/>
        <w:rPr>
          <w:rFonts w:ascii="Calibri" w:eastAsia="SimSun" w:hAnsi="Calibri" w:cs="Arial"/>
          <w:noProof/>
          <w:sz w:val="20"/>
          <w:szCs w:val="20"/>
          <w:lang w:val="en-US" w:eastAsia="zh-CN"/>
        </w:rPr>
      </w:pPr>
      <w:r w:rsidRPr="005808BA">
        <w:rPr>
          <w:rFonts w:ascii="Calibri" w:eastAsia="SimSun" w:hAnsi="Calibri" w:cs="Arial"/>
          <w:noProof/>
          <w:szCs w:val="20"/>
          <w:lang w:val="en-US" w:eastAsia="zh-CN"/>
        </w:rPr>
        <w:t>The project organisation structure is as follows</w:t>
      </w:r>
      <w:r w:rsidR="00AF3FE8">
        <w:rPr>
          <w:rFonts w:ascii="Calibri" w:eastAsia="SimSun" w:hAnsi="Calibri" w:cs="Arial"/>
          <w:noProof/>
          <w:szCs w:val="20"/>
          <w:lang w:val="en-US" w:eastAsia="zh-CN"/>
        </w:rPr>
        <w:t>:</w:t>
      </w:r>
    </w:p>
    <w:p w14:paraId="267BDB11" w14:textId="77777777" w:rsidR="003222D4" w:rsidRDefault="005808BA" w:rsidP="003222D4">
      <w:pPr>
        <w:rPr>
          <w:lang w:val="en-US"/>
        </w:rPr>
      </w:pPr>
      <w:r w:rsidRPr="005808BA">
        <w:rPr>
          <w:rFonts w:ascii="Calibri" w:eastAsia="SimSun" w:hAnsi="Calibri" w:cs="Arial"/>
          <w:i/>
          <w:noProof/>
          <w:sz w:val="20"/>
          <w:szCs w:val="20"/>
          <w:lang w:eastAsia="nl-NL"/>
        </w:rPr>
        <mc:AlternateContent>
          <mc:Choice Requires="wpc">
            <w:drawing>
              <wp:inline distT="0" distB="0" distL="0" distR="0" wp14:anchorId="4A5F9A8A" wp14:editId="5D7C081C">
                <wp:extent cx="6172200" cy="4489450"/>
                <wp:effectExtent l="0" t="0" r="0" b="0"/>
                <wp:docPr id="19"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42"/>
                        <wps:cNvSpPr>
                          <a:spLocks noChangeArrowheads="1"/>
                        </wps:cNvSpPr>
                        <wps:spPr bwMode="auto">
                          <a:xfrm>
                            <a:off x="2171700" y="1943700"/>
                            <a:ext cx="1371600" cy="570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A734035" w14:textId="77777777" w:rsidR="007441D5" w:rsidRDefault="007441D5" w:rsidP="005808BA">
                              <w:pPr>
                                <w:jc w:val="center"/>
                                <w:rPr>
                                  <w:b/>
                                  <w:sz w:val="18"/>
                                  <w:szCs w:val="18"/>
                                </w:rPr>
                              </w:pPr>
                              <w:r>
                                <w:rPr>
                                  <w:b/>
                                  <w:sz w:val="18"/>
                                  <w:szCs w:val="18"/>
                                </w:rPr>
                                <w:t>Project Manager</w:t>
                              </w:r>
                            </w:p>
                            <w:p w14:paraId="727314C2" w14:textId="77777777" w:rsidR="007441D5" w:rsidRPr="00EB563F" w:rsidRDefault="007441D5" w:rsidP="005808BA">
                              <w:pPr>
                                <w:jc w:val="center"/>
                                <w:rPr>
                                  <w:szCs w:val="20"/>
                                </w:rPr>
                              </w:pPr>
                            </w:p>
                          </w:txbxContent>
                        </wps:txbx>
                        <wps:bodyPr rot="0" vert="horz" wrap="square" lIns="91440" tIns="45720" rIns="91440" bIns="45720" anchor="t" anchorCtr="0" upright="1">
                          <a:noAutofit/>
                        </wps:bodyPr>
                      </wps:wsp>
                      <wps:wsp>
                        <wps:cNvPr id="3" name="Rectangle 343"/>
                        <wps:cNvSpPr>
                          <a:spLocks noChangeArrowheads="1"/>
                        </wps:cNvSpPr>
                        <wps:spPr bwMode="auto">
                          <a:xfrm>
                            <a:off x="571500" y="571500"/>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1BC56AF" w14:textId="77777777" w:rsidR="007441D5" w:rsidRDefault="007441D5" w:rsidP="005808BA">
                              <w:pPr>
                                <w:jc w:val="center"/>
                                <w:rPr>
                                  <w:b/>
                                </w:rPr>
                              </w:pPr>
                              <w:r>
                                <w:rPr>
                                  <w:b/>
                                </w:rPr>
                                <w:t>Project Board</w:t>
                              </w:r>
                            </w:p>
                          </w:txbxContent>
                        </wps:txbx>
                        <wps:bodyPr rot="0" vert="horz" wrap="square" lIns="91440" tIns="45720" rIns="91440" bIns="45720" anchor="t" anchorCtr="0" upright="1">
                          <a:noAutofit/>
                        </wps:bodyPr>
                      </wps:wsp>
                      <wps:wsp>
                        <wps:cNvPr id="4" name="Rectangle 344"/>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E09F5EF" w14:textId="77777777" w:rsidR="007441D5" w:rsidRDefault="007441D5" w:rsidP="005808BA">
                              <w:pPr>
                                <w:jc w:val="center"/>
                                <w:rPr>
                                  <w:b/>
                                  <w:bCs/>
                                  <w:sz w:val="18"/>
                                  <w:szCs w:val="18"/>
                                </w:rPr>
                              </w:pPr>
                              <w:r w:rsidRPr="00CA0EEF">
                                <w:rPr>
                                  <w:b/>
                                  <w:bCs/>
                                  <w:sz w:val="18"/>
                                  <w:szCs w:val="18"/>
                                </w:rPr>
                                <w:t xml:space="preserve">Senior </w:t>
                              </w:r>
                              <w:r>
                                <w:rPr>
                                  <w:b/>
                                  <w:bCs/>
                                  <w:sz w:val="18"/>
                                  <w:szCs w:val="18"/>
                                </w:rPr>
                                <w:t xml:space="preserve">Beneficiary:  </w:t>
                              </w:r>
                            </w:p>
                            <w:p w14:paraId="6F2CA119" w14:textId="77777777" w:rsidR="007441D5" w:rsidRDefault="007441D5" w:rsidP="005808BA">
                              <w:pPr>
                                <w:jc w:val="center"/>
                                <w:rPr>
                                  <w:b/>
                                  <w:bCs/>
                                  <w:i/>
                                  <w:sz w:val="18"/>
                                  <w:szCs w:val="18"/>
                                </w:rPr>
                              </w:pPr>
                              <w:r>
                                <w:rPr>
                                  <w:b/>
                                  <w:bCs/>
                                  <w:i/>
                                  <w:sz w:val="18"/>
                                  <w:szCs w:val="18"/>
                                </w:rPr>
                                <w:t>Local communities</w:t>
                              </w:r>
                            </w:p>
                            <w:p w14:paraId="1E2D1CAB" w14:textId="77777777" w:rsidR="007441D5" w:rsidRPr="001C7E82" w:rsidRDefault="007441D5" w:rsidP="005808BA">
                              <w:pPr>
                                <w:jc w:val="center"/>
                                <w:rPr>
                                  <w:i/>
                                  <w:sz w:val="18"/>
                                  <w:szCs w:val="18"/>
                                </w:rPr>
                              </w:pPr>
                              <w:r>
                                <w:rPr>
                                  <w:b/>
                                  <w:bCs/>
                                  <w:i/>
                                  <w:sz w:val="18"/>
                                  <w:szCs w:val="18"/>
                                </w:rPr>
                                <w:t>Goldminers</w:t>
                              </w:r>
                            </w:p>
                          </w:txbxContent>
                        </wps:txbx>
                        <wps:bodyPr rot="0" vert="horz" wrap="square" lIns="91440" tIns="45720" rIns="91440" bIns="45720" anchor="t" anchorCtr="0" upright="1">
                          <a:noAutofit/>
                        </wps:bodyPr>
                      </wps:wsp>
                      <wps:wsp>
                        <wps:cNvPr id="5" name="Rectangle 345"/>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C421934" w14:textId="58779816" w:rsidR="007441D5" w:rsidRDefault="007441D5" w:rsidP="005808BA">
                              <w:pPr>
                                <w:spacing w:before="100" w:beforeAutospacing="1" w:after="100" w:afterAutospacing="1"/>
                                <w:jc w:val="center"/>
                                <w:rPr>
                                  <w:rFonts w:cs="Arial"/>
                                  <w:szCs w:val="20"/>
                                </w:rPr>
                              </w:pPr>
                              <w:r>
                                <w:rPr>
                                  <w:b/>
                                  <w:sz w:val="18"/>
                                  <w:szCs w:val="18"/>
                                </w:rPr>
                                <w:t>Excecution Agency:</w:t>
                              </w:r>
                            </w:p>
                            <w:p w14:paraId="5ECDA559" w14:textId="77777777" w:rsidR="007441D5" w:rsidRPr="001C7E82" w:rsidRDefault="007441D5" w:rsidP="005808BA">
                              <w:pPr>
                                <w:spacing w:before="100" w:beforeAutospacing="1" w:after="100" w:afterAutospacing="1"/>
                                <w:jc w:val="center"/>
                                <w:rPr>
                                  <w:rFonts w:cs="Arial"/>
                                  <w:szCs w:val="20"/>
                                </w:rPr>
                              </w:pPr>
                              <w:r>
                                <w:rPr>
                                  <w:b/>
                                  <w:bCs/>
                                  <w:i/>
                                  <w:sz w:val="18"/>
                                  <w:szCs w:val="18"/>
                                </w:rPr>
                                <w:t>NIMOS</w:t>
                              </w:r>
                            </w:p>
                            <w:p w14:paraId="124D2FC9" w14:textId="77777777" w:rsidR="007441D5" w:rsidRDefault="007441D5" w:rsidP="005808BA">
                              <w:pPr>
                                <w:jc w:val="center"/>
                                <w:rPr>
                                  <w:b/>
                                  <w:sz w:val="18"/>
                                  <w:szCs w:val="18"/>
                                </w:rPr>
                              </w:pPr>
                            </w:p>
                            <w:p w14:paraId="362EED70" w14:textId="77777777" w:rsidR="007441D5" w:rsidRPr="00EB563F" w:rsidRDefault="007441D5" w:rsidP="005808BA">
                              <w:pPr>
                                <w:jc w:val="center"/>
                                <w:rPr>
                                  <w:b/>
                                  <w:szCs w:val="20"/>
                                </w:rPr>
                              </w:pPr>
                            </w:p>
                          </w:txbxContent>
                        </wps:txbx>
                        <wps:bodyPr rot="0" vert="horz" wrap="square" lIns="91440" tIns="45720" rIns="91440" bIns="45720" anchor="t" anchorCtr="0" upright="1">
                          <a:noAutofit/>
                        </wps:bodyPr>
                      </wps:wsp>
                      <wps:wsp>
                        <wps:cNvPr id="6" name="Rectangle 346"/>
                        <wps:cNvSpPr>
                          <a:spLocks noChangeArrowheads="1"/>
                        </wps:cNvSpPr>
                        <wps:spPr bwMode="auto">
                          <a:xfrm>
                            <a:off x="3657600" y="799941"/>
                            <a:ext cx="1600200" cy="5715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9D3B298" w14:textId="77777777" w:rsidR="007441D5" w:rsidRPr="00364C06" w:rsidRDefault="007441D5" w:rsidP="005808BA">
                              <w:pPr>
                                <w:jc w:val="center"/>
                                <w:rPr>
                                  <w:b/>
                                  <w:bCs/>
                                  <w:color w:val="000000" w:themeColor="text1"/>
                                  <w:sz w:val="18"/>
                                  <w:szCs w:val="18"/>
                                  <w:lang w:val="en-US"/>
                                </w:rPr>
                              </w:pPr>
                              <w:r w:rsidRPr="00364C06">
                                <w:rPr>
                                  <w:b/>
                                  <w:bCs/>
                                  <w:color w:val="000000" w:themeColor="text1"/>
                                  <w:sz w:val="18"/>
                                  <w:szCs w:val="18"/>
                                  <w:lang w:val="en-US"/>
                                </w:rPr>
                                <w:t>Technical Advisory Committee</w:t>
                              </w:r>
                            </w:p>
                            <w:p w14:paraId="2CF963AA" w14:textId="77777777" w:rsidR="007441D5" w:rsidRPr="005808BA" w:rsidRDefault="007441D5" w:rsidP="005808BA">
                              <w:pPr>
                                <w:jc w:val="center"/>
                                <w:rPr>
                                  <w:i/>
                                  <w:sz w:val="18"/>
                                  <w:szCs w:val="18"/>
                                  <w:lang w:val="en-US"/>
                                </w:rPr>
                              </w:pPr>
                            </w:p>
                            <w:p w14:paraId="76713D7B" w14:textId="77777777" w:rsidR="007441D5" w:rsidRPr="005808BA" w:rsidRDefault="007441D5" w:rsidP="005808BA">
                              <w:pPr>
                                <w:jc w:val="center"/>
                                <w:rPr>
                                  <w:szCs w:val="20"/>
                                  <w:lang w:val="en-US"/>
                                </w:rPr>
                              </w:pPr>
                            </w:p>
                          </w:txbxContent>
                        </wps:txbx>
                        <wps:bodyPr rot="0" vert="horz" wrap="square" lIns="91440" tIns="45720" rIns="91440" bIns="45720" anchor="t" anchorCtr="0" upright="1">
                          <a:noAutofit/>
                        </wps:bodyPr>
                      </wps:wsp>
                      <wps:wsp>
                        <wps:cNvPr id="7" name="AutoShape 347"/>
                        <wps:cNvCnPr>
                          <a:cxnSpLocks noChangeShapeType="1"/>
                        </wps:cNvCnPr>
                        <wps:spPr bwMode="auto">
                          <a:xfrm>
                            <a:off x="2857500" y="1371600"/>
                            <a:ext cx="600" cy="57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48"/>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BDFB136" w14:textId="77777777" w:rsidR="007441D5" w:rsidRPr="005808BA" w:rsidRDefault="007441D5" w:rsidP="005808BA">
                              <w:pPr>
                                <w:jc w:val="center"/>
                                <w:rPr>
                                  <w:b/>
                                  <w:sz w:val="18"/>
                                  <w:szCs w:val="18"/>
                                  <w:lang w:val="en-US"/>
                                </w:rPr>
                              </w:pPr>
                              <w:r w:rsidRPr="005808BA">
                                <w:rPr>
                                  <w:b/>
                                  <w:sz w:val="18"/>
                                  <w:szCs w:val="18"/>
                                  <w:lang w:val="en-US"/>
                                </w:rPr>
                                <w:t>Project Assurance</w:t>
                              </w:r>
                            </w:p>
                            <w:p w14:paraId="0F9E450E" w14:textId="77777777" w:rsidR="007441D5" w:rsidRPr="005808BA" w:rsidRDefault="007441D5" w:rsidP="005808BA">
                              <w:pPr>
                                <w:jc w:val="center"/>
                                <w:rPr>
                                  <w:sz w:val="18"/>
                                  <w:szCs w:val="18"/>
                                  <w:lang w:val="en-US"/>
                                </w:rPr>
                              </w:pPr>
                              <w:r w:rsidRPr="005808BA">
                                <w:rPr>
                                  <w:b/>
                                  <w:bCs/>
                                  <w:sz w:val="18"/>
                                  <w:szCs w:val="18"/>
                                  <w:lang w:val="en-US"/>
                                </w:rPr>
                                <w:t>UNDP Suriname Office Programme Officer</w:t>
                              </w:r>
                            </w:p>
                            <w:p w14:paraId="45CBD4CC" w14:textId="77777777" w:rsidR="007441D5" w:rsidRPr="005808BA" w:rsidRDefault="007441D5" w:rsidP="005808BA">
                              <w:pPr>
                                <w:pStyle w:val="BodyText3"/>
                                <w:jc w:val="center"/>
                                <w:rPr>
                                  <w:b/>
                                  <w:bCs/>
                                  <w:lang w:val="en-US"/>
                                </w:rPr>
                              </w:pPr>
                            </w:p>
                          </w:txbxContent>
                        </wps:txbx>
                        <wps:bodyPr rot="0" vert="horz" wrap="square" lIns="91440" tIns="45720" rIns="91440" bIns="45720" anchor="t" anchorCtr="0" upright="1">
                          <a:noAutofit/>
                        </wps:bodyPr>
                      </wps:wsp>
                      <wps:wsp>
                        <wps:cNvPr id="9" name="Rectangle 349"/>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DBA6DBA" w14:textId="77777777" w:rsidR="007441D5" w:rsidRDefault="007441D5" w:rsidP="005808BA">
                              <w:pPr>
                                <w:jc w:val="center"/>
                                <w:rPr>
                                  <w:b/>
                                  <w:sz w:val="18"/>
                                  <w:szCs w:val="18"/>
                                </w:rPr>
                              </w:pPr>
                              <w:r>
                                <w:rPr>
                                  <w:b/>
                                  <w:sz w:val="18"/>
                                  <w:szCs w:val="18"/>
                                </w:rPr>
                                <w:t>IMAC/MCM/PCG Environment</w:t>
                              </w:r>
                            </w:p>
                            <w:p w14:paraId="541067B0" w14:textId="77777777" w:rsidR="007441D5" w:rsidRDefault="007441D5" w:rsidP="005808BA">
                              <w:pPr>
                                <w:spacing w:before="120"/>
                                <w:jc w:val="center"/>
                                <w:rPr>
                                  <w:sz w:val="18"/>
                                  <w:szCs w:val="18"/>
                                </w:rPr>
                              </w:pPr>
                            </w:p>
                          </w:txbxContent>
                        </wps:txbx>
                        <wps:bodyPr rot="0" vert="horz" wrap="square" lIns="91440" tIns="45720" rIns="91440" bIns="45720" anchor="t" anchorCtr="0" upright="1">
                          <a:noAutofit/>
                        </wps:bodyPr>
                      </wps:wsp>
                      <wps:wsp>
                        <wps:cNvPr id="10" name="AutoShape 350"/>
                        <wps:cNvCnPr>
                          <a:cxnSpLocks noChangeShapeType="1"/>
                        </wps:cNvCnPr>
                        <wps:spPr bwMode="auto">
                          <a:xfrm flipV="1">
                            <a:off x="3543300" y="2228800"/>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42F13F44" w14:textId="77777777" w:rsidR="007441D5" w:rsidRPr="001D0B24" w:rsidRDefault="007441D5" w:rsidP="005808BA">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12" name="Rectangle 352"/>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6DEC238" w14:textId="77777777" w:rsidR="007441D5" w:rsidRPr="00A65C68" w:rsidRDefault="007441D5" w:rsidP="005808BA">
                              <w:pPr>
                                <w:jc w:val="center"/>
                                <w:rPr>
                                  <w:b/>
                                  <w:sz w:val="18"/>
                                  <w:szCs w:val="18"/>
                                  <w:lang w:val="en-US"/>
                                </w:rPr>
                              </w:pPr>
                              <w:r w:rsidRPr="00A65C68">
                                <w:rPr>
                                  <w:b/>
                                  <w:sz w:val="18"/>
                                  <w:szCs w:val="18"/>
                                  <w:lang w:val="en-US"/>
                                </w:rPr>
                                <w:t>TEAM A</w:t>
                              </w:r>
                            </w:p>
                            <w:p w14:paraId="2ACD95A4" w14:textId="1D57BC75" w:rsidR="007441D5" w:rsidRPr="00A65C68" w:rsidRDefault="007441D5" w:rsidP="005808BA">
                              <w:pPr>
                                <w:jc w:val="center"/>
                                <w:rPr>
                                  <w:b/>
                                  <w:sz w:val="18"/>
                                  <w:szCs w:val="18"/>
                                  <w:lang w:val="en-US"/>
                                </w:rPr>
                              </w:pPr>
                              <w:r w:rsidRPr="00364C06">
                                <w:rPr>
                                  <w:b/>
                                  <w:sz w:val="18"/>
                                  <w:szCs w:val="18"/>
                                  <w:lang w:val="en-US"/>
                                </w:rPr>
                                <w:t>ASGM Mercury Inventory Assessment</w:t>
                              </w:r>
                            </w:p>
                            <w:p w14:paraId="2BF2905E" w14:textId="77777777" w:rsidR="007441D5" w:rsidRPr="00A65C68" w:rsidRDefault="007441D5" w:rsidP="005808BA">
                              <w:pPr>
                                <w:jc w:val="center"/>
                                <w:rPr>
                                  <w:sz w:val="18"/>
                                  <w:szCs w:val="18"/>
                                  <w:lang w:val="en-US"/>
                                </w:rPr>
                              </w:pPr>
                            </w:p>
                          </w:txbxContent>
                        </wps:txbx>
                        <wps:bodyPr rot="0" vert="horz" wrap="square" lIns="91440" tIns="45720" rIns="91440" bIns="45720" anchor="t" anchorCtr="0" upright="1">
                          <a:noAutofit/>
                        </wps:bodyPr>
                      </wps:wsp>
                      <wps:wsp>
                        <wps:cNvPr id="13" name="Rectangle 353"/>
                        <wps:cNvSpPr>
                          <a:spLocks noChangeArrowheads="1"/>
                        </wps:cNvSpPr>
                        <wps:spPr bwMode="auto">
                          <a:xfrm>
                            <a:off x="3840480" y="2742460"/>
                            <a:ext cx="1485900" cy="68606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6671F0A" w14:textId="77777777" w:rsidR="007441D5" w:rsidRPr="005808BA" w:rsidRDefault="007441D5" w:rsidP="005808BA">
                              <w:pPr>
                                <w:jc w:val="center"/>
                                <w:rPr>
                                  <w:b/>
                                  <w:sz w:val="18"/>
                                  <w:szCs w:val="18"/>
                                  <w:lang w:val="en-US"/>
                                </w:rPr>
                              </w:pPr>
                              <w:r w:rsidRPr="005808BA">
                                <w:rPr>
                                  <w:b/>
                                  <w:sz w:val="18"/>
                                  <w:szCs w:val="18"/>
                                  <w:lang w:val="en-US"/>
                                </w:rPr>
                                <w:t>TEAM C</w:t>
                              </w:r>
                            </w:p>
                            <w:p w14:paraId="4FDD80CC" w14:textId="49E592FE" w:rsidR="007441D5" w:rsidRPr="00A65C68" w:rsidRDefault="007441D5" w:rsidP="00A65C68">
                              <w:pPr>
                                <w:spacing w:line="240" w:lineRule="auto"/>
                                <w:jc w:val="center"/>
                                <w:rPr>
                                  <w:b/>
                                  <w:sz w:val="16"/>
                                  <w:szCs w:val="20"/>
                                  <w:lang w:val="en-US"/>
                                </w:rPr>
                              </w:pPr>
                              <w:r w:rsidRPr="00364C06">
                                <w:rPr>
                                  <w:b/>
                                  <w:sz w:val="16"/>
                                  <w:szCs w:val="20"/>
                                  <w:lang w:val="en-US"/>
                                </w:rPr>
                                <w:t>NAP and ASGM Advocacy, Education and Awareness</w:t>
                              </w:r>
                            </w:p>
                          </w:txbxContent>
                        </wps:txbx>
                        <wps:bodyPr rot="0" vert="horz" wrap="square" lIns="91440" tIns="45720" rIns="91440" bIns="45720" anchor="t" anchorCtr="0" upright="1">
                          <a:noAutofit/>
                        </wps:bodyPr>
                      </wps:wsp>
                      <wps:wsp>
                        <wps:cNvPr id="14" name="AutoShape 354"/>
                        <wps:cNvCnPr>
                          <a:cxnSpLocks noChangeShapeType="1"/>
                        </wps:cNvCnPr>
                        <wps:spPr bwMode="auto">
                          <a:xfrm rot="5400000">
                            <a:off x="1914500" y="1800200"/>
                            <a:ext cx="228600" cy="16574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355"/>
                        <wps:cNvCnPr>
                          <a:cxnSpLocks noChangeShapeType="1"/>
                        </wps:cNvCnPr>
                        <wps:spPr bwMode="auto">
                          <a:xfrm rot="16200000" flipH="1">
                            <a:off x="3571900" y="1800200"/>
                            <a:ext cx="228600" cy="16573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356"/>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87C185D" w14:textId="77777777" w:rsidR="007441D5" w:rsidRPr="00364C06" w:rsidRDefault="007441D5" w:rsidP="005808BA">
                              <w:pPr>
                                <w:jc w:val="center"/>
                                <w:rPr>
                                  <w:b/>
                                  <w:sz w:val="18"/>
                                  <w:szCs w:val="18"/>
                                  <w:lang w:val="en-US"/>
                                </w:rPr>
                              </w:pPr>
                              <w:r w:rsidRPr="00364C06">
                                <w:rPr>
                                  <w:b/>
                                  <w:sz w:val="18"/>
                                  <w:szCs w:val="18"/>
                                  <w:lang w:val="en-US"/>
                                </w:rPr>
                                <w:t>TEAM B</w:t>
                              </w:r>
                            </w:p>
                            <w:p w14:paraId="3BBF7BA1" w14:textId="7E246DDF" w:rsidR="007441D5" w:rsidRPr="00364C06" w:rsidRDefault="007441D5" w:rsidP="005808BA">
                              <w:pPr>
                                <w:jc w:val="center"/>
                                <w:rPr>
                                  <w:b/>
                                  <w:color w:val="000000" w:themeColor="text1"/>
                                  <w:sz w:val="18"/>
                                  <w:szCs w:val="18"/>
                                  <w:lang w:val="en-US"/>
                                </w:rPr>
                              </w:pPr>
                              <w:r w:rsidRPr="00364C06">
                                <w:rPr>
                                  <w:b/>
                                  <w:color w:val="000000" w:themeColor="text1"/>
                                  <w:sz w:val="18"/>
                                  <w:szCs w:val="18"/>
                                  <w:lang w:val="en-US"/>
                                </w:rPr>
                                <w:t>General Assessment and institution capacities ASGM</w:t>
                              </w:r>
                              <w:r w:rsidRPr="00364C06" w:rsidDel="00C41BB3">
                                <w:rPr>
                                  <w:b/>
                                  <w:color w:val="000000" w:themeColor="text1"/>
                                  <w:sz w:val="18"/>
                                  <w:szCs w:val="18"/>
                                  <w:lang w:val="en-US"/>
                                </w:rPr>
                                <w:t xml:space="preserve"> </w:t>
                              </w:r>
                            </w:p>
                            <w:p w14:paraId="3BF6B325" w14:textId="77777777" w:rsidR="007441D5" w:rsidRPr="00364C06" w:rsidRDefault="007441D5" w:rsidP="005808BA">
                              <w:pPr>
                                <w:jc w:val="center"/>
                                <w:rPr>
                                  <w:szCs w:val="20"/>
                                  <w:lang w:val="en-US"/>
                                </w:rPr>
                              </w:pPr>
                            </w:p>
                          </w:txbxContent>
                        </wps:txbx>
                        <wps:bodyPr rot="0" vert="horz" wrap="square" lIns="91440" tIns="45720" rIns="91440" bIns="45720" anchor="t" anchorCtr="0" upright="1">
                          <a:noAutofit/>
                        </wps:bodyPr>
                      </wps:wsp>
                      <wps:wsp>
                        <wps:cNvPr id="17" name="AutoShape 357"/>
                        <wps:cNvCnPr>
                          <a:cxnSpLocks noChangeShapeType="1"/>
                        </wps:cNvCnPr>
                        <wps:spPr bwMode="auto">
                          <a:xfrm>
                            <a:off x="2857500" y="25146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58"/>
                        <wps:cNvCnPr>
                          <a:cxnSpLocks noChangeShapeType="1"/>
                        </wps:cNvCnPr>
                        <wps:spPr bwMode="auto">
                          <a:xfrm rot="16200000">
                            <a:off x="1885900" y="51440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Straight Connector 21"/>
                        <wps:cNvCnPr/>
                        <wps:spPr>
                          <a:xfrm>
                            <a:off x="1168037" y="3428528"/>
                            <a:ext cx="0" cy="27305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2" name="Rectangle 22"/>
                        <wps:cNvSpPr/>
                        <wps:spPr>
                          <a:xfrm>
                            <a:off x="334735" y="3701578"/>
                            <a:ext cx="1679121" cy="641350"/>
                          </a:xfrm>
                          <a:prstGeom prst="rect">
                            <a:avLst/>
                          </a:prstGeom>
                          <a:solidFill>
                            <a:srgbClr val="FFFF99"/>
                          </a:solidFill>
                        </wps:spPr>
                        <wps:style>
                          <a:lnRef idx="2">
                            <a:schemeClr val="accent6"/>
                          </a:lnRef>
                          <a:fillRef idx="1">
                            <a:schemeClr val="lt1"/>
                          </a:fillRef>
                          <a:effectRef idx="0">
                            <a:schemeClr val="accent6"/>
                          </a:effectRef>
                          <a:fontRef idx="minor">
                            <a:schemeClr val="dk1"/>
                          </a:fontRef>
                        </wps:style>
                        <wps:txbx>
                          <w:txbxContent>
                            <w:p w14:paraId="47443D09" w14:textId="5698094F" w:rsidR="007441D5" w:rsidRPr="00364C06" w:rsidRDefault="007441D5" w:rsidP="00364C06">
                              <w:pPr>
                                <w:jc w:val="center"/>
                                <w:rPr>
                                  <w:b/>
                                  <w:sz w:val="20"/>
                                  <w:lang w:val="en-US"/>
                                </w:rPr>
                              </w:pPr>
                              <w:r w:rsidRPr="00364C06">
                                <w:rPr>
                                  <w:b/>
                                  <w:color w:val="000000" w:themeColor="text1"/>
                                  <w:sz w:val="16"/>
                                  <w:lang w:val="en-US"/>
                                </w:rPr>
                                <w:t>Key sites for direct measurements and interviews NKK/Makamboa/ETR, Compagniekreek, East Suriname</w:t>
                              </w:r>
                              <w:r w:rsidRPr="00364C06">
                                <w:rPr>
                                  <w:b/>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5F9A8A" id="Canvas 340" o:spid="_x0000_s1026" editas="canvas" style="width:486pt;height:353.5pt;mso-position-horizontal-relative:char;mso-position-vertical-relative:line" coordsize="61722,4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4894;visibility:visible;mso-wrap-style:square">
                  <v:fill o:detectmouseclick="t"/>
                  <v:path o:connecttype="none"/>
                </v:shape>
                <v:rect id="Rectangle 342" o:spid="_x0000_s1028" style="position:absolute;left:21717;top:19437;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3A734035" w14:textId="77777777" w:rsidR="007441D5" w:rsidRDefault="007441D5" w:rsidP="005808BA">
                        <w:pPr>
                          <w:jc w:val="center"/>
                          <w:rPr>
                            <w:b/>
                            <w:sz w:val="18"/>
                            <w:szCs w:val="18"/>
                          </w:rPr>
                        </w:pPr>
                        <w:r>
                          <w:rPr>
                            <w:b/>
                            <w:sz w:val="18"/>
                            <w:szCs w:val="18"/>
                          </w:rPr>
                          <w:t>Project Manager</w:t>
                        </w:r>
                      </w:p>
                      <w:p w14:paraId="727314C2" w14:textId="77777777" w:rsidR="007441D5" w:rsidRPr="00EB563F" w:rsidRDefault="007441D5" w:rsidP="005808BA">
                        <w:pPr>
                          <w:jc w:val="center"/>
                          <w:rPr>
                            <w:szCs w:val="20"/>
                          </w:rPr>
                        </w:pPr>
                      </w:p>
                    </w:txbxContent>
                  </v:textbox>
                </v:rect>
                <v:rect id="Rectangle 343" o:spid="_x0000_s1029"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" fillcolor="#f90">
                  <v:shadow on="t" opacity=".5" offset="6pt,6pt"/>
                  <v:textbox>
                    <w:txbxContent>
                      <w:p w14:paraId="71BC56AF" w14:textId="77777777" w:rsidR="007441D5" w:rsidRDefault="007441D5" w:rsidP="005808BA">
                        <w:pPr>
                          <w:jc w:val="center"/>
                          <w:rPr>
                            <w:b/>
                          </w:rPr>
                        </w:pPr>
                        <w:r>
                          <w:rPr>
                            <w:b/>
                          </w:rPr>
                          <w:t>Project Board</w:t>
                        </w:r>
                      </w:p>
                    </w:txbxContent>
                  </v:textbox>
                </v:rect>
                <v:rect id="Rectangle 344" o:spid="_x0000_s1030" style="position:absolute;left:5715;top:8001;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4E09F5EF" w14:textId="77777777" w:rsidR="007441D5" w:rsidRDefault="007441D5" w:rsidP="005808BA">
                        <w:pPr>
                          <w:jc w:val="center"/>
                          <w:rPr>
                            <w:b/>
                            <w:bCs/>
                            <w:sz w:val="18"/>
                            <w:szCs w:val="18"/>
                          </w:rPr>
                        </w:pPr>
                        <w:r w:rsidRPr="00CA0EEF">
                          <w:rPr>
                            <w:b/>
                            <w:bCs/>
                            <w:sz w:val="18"/>
                            <w:szCs w:val="18"/>
                          </w:rPr>
                          <w:t xml:space="preserve">Senior </w:t>
                        </w:r>
                        <w:r>
                          <w:rPr>
                            <w:b/>
                            <w:bCs/>
                            <w:sz w:val="18"/>
                            <w:szCs w:val="18"/>
                          </w:rPr>
                          <w:t xml:space="preserve">Beneficiary:  </w:t>
                        </w:r>
                      </w:p>
                      <w:p w14:paraId="6F2CA119" w14:textId="77777777" w:rsidR="007441D5" w:rsidRDefault="007441D5" w:rsidP="005808BA">
                        <w:pPr>
                          <w:jc w:val="center"/>
                          <w:rPr>
                            <w:b/>
                            <w:bCs/>
                            <w:i/>
                            <w:sz w:val="18"/>
                            <w:szCs w:val="18"/>
                          </w:rPr>
                        </w:pPr>
                        <w:r>
                          <w:rPr>
                            <w:b/>
                            <w:bCs/>
                            <w:i/>
                            <w:sz w:val="18"/>
                            <w:szCs w:val="18"/>
                          </w:rPr>
                          <w:t>Local communities</w:t>
                        </w:r>
                      </w:p>
                      <w:p w14:paraId="1E2D1CAB" w14:textId="77777777" w:rsidR="007441D5" w:rsidRPr="001C7E82" w:rsidRDefault="007441D5" w:rsidP="005808BA">
                        <w:pPr>
                          <w:jc w:val="center"/>
                          <w:rPr>
                            <w:i/>
                            <w:sz w:val="18"/>
                            <w:szCs w:val="18"/>
                          </w:rPr>
                        </w:pPr>
                        <w:r>
                          <w:rPr>
                            <w:b/>
                            <w:bCs/>
                            <w:i/>
                            <w:sz w:val="18"/>
                            <w:szCs w:val="18"/>
                          </w:rPr>
                          <w:t>Goldminers</w:t>
                        </w:r>
                      </w:p>
                    </w:txbxContent>
                  </v:textbox>
                </v:rect>
                <v:rect id="Rectangle 345" o:spid="_x0000_s1031" style="position:absolute;left:20574;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0C421934" w14:textId="58779816" w:rsidR="007441D5" w:rsidRDefault="007441D5" w:rsidP="005808BA">
                        <w:pPr>
                          <w:spacing w:before="100" w:beforeAutospacing="1" w:after="100" w:afterAutospacing="1"/>
                          <w:jc w:val="center"/>
                          <w:rPr>
                            <w:rFonts w:cs="Arial"/>
                            <w:szCs w:val="20"/>
                          </w:rPr>
                        </w:pPr>
                        <w:r>
                          <w:rPr>
                            <w:b/>
                            <w:sz w:val="18"/>
                            <w:szCs w:val="18"/>
                          </w:rPr>
                          <w:t>Excecution Agency:</w:t>
                        </w:r>
                      </w:p>
                      <w:p w14:paraId="5ECDA559" w14:textId="77777777" w:rsidR="007441D5" w:rsidRPr="001C7E82" w:rsidRDefault="007441D5" w:rsidP="005808BA">
                        <w:pPr>
                          <w:spacing w:before="100" w:beforeAutospacing="1" w:after="100" w:afterAutospacing="1"/>
                          <w:jc w:val="center"/>
                          <w:rPr>
                            <w:rFonts w:cs="Arial"/>
                            <w:szCs w:val="20"/>
                          </w:rPr>
                        </w:pPr>
                        <w:r>
                          <w:rPr>
                            <w:b/>
                            <w:bCs/>
                            <w:i/>
                            <w:sz w:val="18"/>
                            <w:szCs w:val="18"/>
                          </w:rPr>
                          <w:t>NIMOS</w:t>
                        </w:r>
                      </w:p>
                      <w:p w14:paraId="124D2FC9" w14:textId="77777777" w:rsidR="007441D5" w:rsidRDefault="007441D5" w:rsidP="005808BA">
                        <w:pPr>
                          <w:jc w:val="center"/>
                          <w:rPr>
                            <w:b/>
                            <w:sz w:val="18"/>
                            <w:szCs w:val="18"/>
                          </w:rPr>
                        </w:pPr>
                      </w:p>
                      <w:p w14:paraId="362EED70" w14:textId="77777777" w:rsidR="007441D5" w:rsidRPr="00EB563F" w:rsidRDefault="007441D5" w:rsidP="005808BA">
                        <w:pPr>
                          <w:jc w:val="center"/>
                          <w:rPr>
                            <w:b/>
                            <w:szCs w:val="20"/>
                          </w:rPr>
                        </w:pPr>
                      </w:p>
                    </w:txbxContent>
                  </v:textbox>
                </v:rect>
                <v:rect id="Rectangle 346" o:spid="_x0000_s1032" style="position:absolute;left:36576;top:7999;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59D3B298" w14:textId="77777777" w:rsidR="007441D5" w:rsidRPr="00364C06" w:rsidRDefault="007441D5" w:rsidP="005808BA">
                        <w:pPr>
                          <w:jc w:val="center"/>
                          <w:rPr>
                            <w:b/>
                            <w:bCs/>
                            <w:color w:val="000000" w:themeColor="text1"/>
                            <w:sz w:val="18"/>
                            <w:szCs w:val="18"/>
                            <w:lang w:val="en-US"/>
                          </w:rPr>
                        </w:pPr>
                        <w:r w:rsidRPr="00364C06">
                          <w:rPr>
                            <w:b/>
                            <w:bCs/>
                            <w:color w:val="000000" w:themeColor="text1"/>
                            <w:sz w:val="18"/>
                            <w:szCs w:val="18"/>
                            <w:lang w:val="en-US"/>
                          </w:rPr>
                          <w:t>Technical Advisory Committee</w:t>
                        </w:r>
                      </w:p>
                      <w:p w14:paraId="2CF963AA" w14:textId="77777777" w:rsidR="007441D5" w:rsidRPr="005808BA" w:rsidRDefault="007441D5" w:rsidP="005808BA">
                        <w:pPr>
                          <w:jc w:val="center"/>
                          <w:rPr>
                            <w:i/>
                            <w:sz w:val="18"/>
                            <w:szCs w:val="18"/>
                            <w:lang w:val="en-US"/>
                          </w:rPr>
                        </w:pPr>
                      </w:p>
                      <w:p w14:paraId="76713D7B" w14:textId="77777777" w:rsidR="007441D5" w:rsidRPr="005808BA" w:rsidRDefault="007441D5" w:rsidP="005808BA">
                        <w:pPr>
                          <w:jc w:val="center"/>
                          <w:rPr>
                            <w:szCs w:val="20"/>
                            <w:lang w:val="en-US"/>
                          </w:rPr>
                        </w:pPr>
                      </w:p>
                    </w:txbxContent>
                  </v:textbox>
                </v:rect>
                <v:shapetype id="_x0000_t32" coordsize="21600,21600" o:spt="32" o:oned="t" path="m,l21600,21600e" filled="f">
                  <v:path arrowok="t" fillok="f" o:connecttype="none"/>
                  <o:lock v:ext="edit" shapetype="t"/>
                </v:shapetype>
                <v:shape id="AutoShape 347" o:spid="_x0000_s1033" type="#_x0000_t32" style="position:absolute;left:28575;top:13716;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48" o:spid="_x0000_s1034" style="position:absolute;left:2286;top:1485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3BDFB136" w14:textId="77777777" w:rsidR="007441D5" w:rsidRPr="005808BA" w:rsidRDefault="007441D5" w:rsidP="005808BA">
                        <w:pPr>
                          <w:jc w:val="center"/>
                          <w:rPr>
                            <w:b/>
                            <w:sz w:val="18"/>
                            <w:szCs w:val="18"/>
                            <w:lang w:val="en-US"/>
                          </w:rPr>
                        </w:pPr>
                        <w:r w:rsidRPr="005808BA">
                          <w:rPr>
                            <w:b/>
                            <w:sz w:val="18"/>
                            <w:szCs w:val="18"/>
                            <w:lang w:val="en-US"/>
                          </w:rPr>
                          <w:t>Project Assurance</w:t>
                        </w:r>
                      </w:p>
                      <w:p w14:paraId="0F9E450E" w14:textId="77777777" w:rsidR="007441D5" w:rsidRPr="005808BA" w:rsidRDefault="007441D5" w:rsidP="005808BA">
                        <w:pPr>
                          <w:jc w:val="center"/>
                          <w:rPr>
                            <w:sz w:val="18"/>
                            <w:szCs w:val="18"/>
                            <w:lang w:val="en-US"/>
                          </w:rPr>
                        </w:pPr>
                        <w:r w:rsidRPr="005808BA">
                          <w:rPr>
                            <w:b/>
                            <w:bCs/>
                            <w:sz w:val="18"/>
                            <w:szCs w:val="18"/>
                            <w:lang w:val="en-US"/>
                          </w:rPr>
                          <w:t>UNDP Suriname Office Programme Officer</w:t>
                        </w:r>
                      </w:p>
                      <w:p w14:paraId="45CBD4CC" w14:textId="77777777" w:rsidR="007441D5" w:rsidRPr="005808BA" w:rsidRDefault="007441D5" w:rsidP="005808BA">
                        <w:pPr>
                          <w:pStyle w:val="BodyText3"/>
                          <w:jc w:val="center"/>
                          <w:rPr>
                            <w:b/>
                            <w:bCs/>
                            <w:lang w:val="en-US"/>
                          </w:rPr>
                        </w:pPr>
                      </w:p>
                    </w:txbxContent>
                  </v:textbox>
                </v:rect>
                <v:rect id="Rectangle 349" o:spid="_x0000_s1035" style="position:absolute;left:38862;top:19431;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" fillcolor="#fc9">
                  <v:shadow on="t" opacity=".5" offset="6pt,6pt"/>
                  <v:textbox>
                    <w:txbxContent>
                      <w:p w14:paraId="5DBA6DBA" w14:textId="77777777" w:rsidR="007441D5" w:rsidRDefault="007441D5" w:rsidP="005808BA">
                        <w:pPr>
                          <w:jc w:val="center"/>
                          <w:rPr>
                            <w:b/>
                            <w:sz w:val="18"/>
                            <w:szCs w:val="18"/>
                          </w:rPr>
                        </w:pPr>
                        <w:r>
                          <w:rPr>
                            <w:b/>
                            <w:sz w:val="18"/>
                            <w:szCs w:val="18"/>
                          </w:rPr>
                          <w:t>IMAC/MCM/PCG Environment</w:t>
                        </w:r>
                      </w:p>
                      <w:p w14:paraId="541067B0" w14:textId="77777777" w:rsidR="007441D5" w:rsidRDefault="007441D5" w:rsidP="005808BA">
                        <w:pPr>
                          <w:spacing w:before="120"/>
                          <w:jc w:val="center"/>
                          <w:rPr>
                            <w:sz w:val="18"/>
                            <w:szCs w:val="18"/>
                          </w:rPr>
                        </w:pPr>
                      </w:p>
                    </w:txbxContent>
                  </v:textbox>
                </v:rect>
                <v:shape id="AutoShape 350" o:spid="_x0000_s1036" type="#_x0000_t32" style="position:absolute;left:35433;top:22288;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roundrect id="AutoShape 351" o:spid="_x0000_s1037"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" fillcolor="#9cf">
                  <v:textbox>
                    <w:txbxContent>
                      <w:p w14:paraId="42F13F44" w14:textId="77777777" w:rsidR="007441D5" w:rsidRPr="001D0B24" w:rsidRDefault="007441D5" w:rsidP="005808BA">
                        <w:pPr>
                          <w:spacing w:after="0"/>
                          <w:jc w:val="center"/>
                          <w:rPr>
                            <w:b/>
                            <w:sz w:val="24"/>
                          </w:rPr>
                        </w:pPr>
                        <w:r w:rsidRPr="001D0B24">
                          <w:rPr>
                            <w:b/>
                            <w:sz w:val="24"/>
                          </w:rPr>
                          <w:t>Project Organization Structure</w:t>
                        </w:r>
                      </w:p>
                    </w:txbxContent>
                  </v:textbox>
                </v:roundrect>
                <v:rect id="Rectangle 352" o:spid="_x0000_s1038" style="position:absolute;left:4572;top:27432;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" fillcolor="#ff9">
                  <v:shadow on="t" opacity=".5" offset="6pt,6pt"/>
                  <v:textbox>
                    <w:txbxContent>
                      <w:p w14:paraId="06DEC238" w14:textId="77777777" w:rsidR="007441D5" w:rsidRPr="00A65C68" w:rsidRDefault="007441D5" w:rsidP="005808BA">
                        <w:pPr>
                          <w:jc w:val="center"/>
                          <w:rPr>
                            <w:b/>
                            <w:sz w:val="18"/>
                            <w:szCs w:val="18"/>
                            <w:lang w:val="en-US"/>
                          </w:rPr>
                        </w:pPr>
                        <w:r w:rsidRPr="00A65C68">
                          <w:rPr>
                            <w:b/>
                            <w:sz w:val="18"/>
                            <w:szCs w:val="18"/>
                            <w:lang w:val="en-US"/>
                          </w:rPr>
                          <w:t>TEAM A</w:t>
                        </w:r>
                      </w:p>
                      <w:p w14:paraId="2ACD95A4" w14:textId="1D57BC75" w:rsidR="007441D5" w:rsidRPr="00A65C68" w:rsidRDefault="007441D5" w:rsidP="005808BA">
                        <w:pPr>
                          <w:jc w:val="center"/>
                          <w:rPr>
                            <w:b/>
                            <w:sz w:val="18"/>
                            <w:szCs w:val="18"/>
                            <w:lang w:val="en-US"/>
                          </w:rPr>
                        </w:pPr>
                        <w:r w:rsidRPr="00364C06">
                          <w:rPr>
                            <w:b/>
                            <w:sz w:val="18"/>
                            <w:szCs w:val="18"/>
                            <w:lang w:val="en-US"/>
                          </w:rPr>
                          <w:t>ASGM Mercury Inventory Assessment</w:t>
                        </w:r>
                      </w:p>
                      <w:p w14:paraId="2BF2905E" w14:textId="77777777" w:rsidR="007441D5" w:rsidRPr="00A65C68" w:rsidRDefault="007441D5" w:rsidP="005808BA">
                        <w:pPr>
                          <w:jc w:val="center"/>
                          <w:rPr>
                            <w:sz w:val="18"/>
                            <w:szCs w:val="18"/>
                            <w:lang w:val="en-US"/>
                          </w:rPr>
                        </w:pPr>
                      </w:p>
                    </w:txbxContent>
                  </v:textbox>
                </v:rect>
                <v:rect id="Rectangle 353" o:spid="_x0000_s1039" style="position:absolute;left:38404;top:27424;width:14859;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MbwAAAANsAAAAPAAAAZHJzL2Rvd25yZXYueG1sRE9LawIx&#10;EL4X/A9hhN5qVgs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EIYzG8AAAADbAAAADwAAAAAA&#10;AAAAAAAAAAAHAgAAZHJzL2Rvd25yZXYueG1sUEsFBgAAAAADAAMAtwAAAPQCAAAAAA==&#10;" fillcolor="#ff9">
                  <v:shadow on="t" opacity=".5" offset="6pt,6pt"/>
                  <v:textbox>
                    <w:txbxContent>
                      <w:p w14:paraId="76671F0A" w14:textId="77777777" w:rsidR="007441D5" w:rsidRPr="005808BA" w:rsidRDefault="007441D5" w:rsidP="005808BA">
                        <w:pPr>
                          <w:jc w:val="center"/>
                          <w:rPr>
                            <w:b/>
                            <w:sz w:val="18"/>
                            <w:szCs w:val="18"/>
                            <w:lang w:val="en-US"/>
                          </w:rPr>
                        </w:pPr>
                        <w:r w:rsidRPr="005808BA">
                          <w:rPr>
                            <w:b/>
                            <w:sz w:val="18"/>
                            <w:szCs w:val="18"/>
                            <w:lang w:val="en-US"/>
                          </w:rPr>
                          <w:t>TEAM C</w:t>
                        </w:r>
                      </w:p>
                      <w:p w14:paraId="4FDD80CC" w14:textId="49E592FE" w:rsidR="007441D5" w:rsidRPr="00A65C68" w:rsidRDefault="007441D5" w:rsidP="00A65C68">
                        <w:pPr>
                          <w:spacing w:line="240" w:lineRule="auto"/>
                          <w:jc w:val="center"/>
                          <w:rPr>
                            <w:b/>
                            <w:sz w:val="16"/>
                            <w:szCs w:val="20"/>
                            <w:lang w:val="en-US"/>
                          </w:rPr>
                        </w:pPr>
                        <w:r w:rsidRPr="00364C06">
                          <w:rPr>
                            <w:b/>
                            <w:sz w:val="16"/>
                            <w:szCs w:val="20"/>
                            <w:lang w:val="en-US"/>
                          </w:rPr>
                          <w:t>NAP and ASGM Advocacy, Education and Awareness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4" o:spid="_x0000_s1040" type="#_x0000_t34" style="position:absolute;left:19145;top:18002;width:2286;height:16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" adj="10740"/>
                <v:shape id="AutoShape 355" o:spid="_x0000_s1041" type="#_x0000_t34" style="position:absolute;left:35719;top:18001;width:2286;height:165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" adj="10740"/>
                <v:rect id="Rectangle 356" o:spid="_x0000_s1042" style="position:absolute;left:20574;top:27432;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" fillcolor="#ff9">
                  <v:shadow on="t" opacity=".5" offset="6pt,6pt"/>
                  <v:textbox>
                    <w:txbxContent>
                      <w:p w14:paraId="287C185D" w14:textId="77777777" w:rsidR="007441D5" w:rsidRPr="00364C06" w:rsidRDefault="007441D5" w:rsidP="005808BA">
                        <w:pPr>
                          <w:jc w:val="center"/>
                          <w:rPr>
                            <w:b/>
                            <w:sz w:val="18"/>
                            <w:szCs w:val="18"/>
                            <w:lang w:val="en-US"/>
                          </w:rPr>
                        </w:pPr>
                        <w:r w:rsidRPr="00364C06">
                          <w:rPr>
                            <w:b/>
                            <w:sz w:val="18"/>
                            <w:szCs w:val="18"/>
                            <w:lang w:val="en-US"/>
                          </w:rPr>
                          <w:t>TEAM B</w:t>
                        </w:r>
                      </w:p>
                      <w:p w14:paraId="3BBF7BA1" w14:textId="7E246DDF" w:rsidR="007441D5" w:rsidRPr="00364C06" w:rsidRDefault="007441D5" w:rsidP="005808BA">
                        <w:pPr>
                          <w:jc w:val="center"/>
                          <w:rPr>
                            <w:b/>
                            <w:color w:val="000000" w:themeColor="text1"/>
                            <w:sz w:val="18"/>
                            <w:szCs w:val="18"/>
                            <w:lang w:val="en-US"/>
                          </w:rPr>
                        </w:pPr>
                        <w:r w:rsidRPr="00364C06">
                          <w:rPr>
                            <w:b/>
                            <w:color w:val="000000" w:themeColor="text1"/>
                            <w:sz w:val="18"/>
                            <w:szCs w:val="18"/>
                            <w:lang w:val="en-US"/>
                          </w:rPr>
                          <w:t>General Assessment and institution capacities ASGM</w:t>
                        </w:r>
                        <w:r w:rsidRPr="00364C06" w:rsidDel="00C41BB3">
                          <w:rPr>
                            <w:b/>
                            <w:color w:val="000000" w:themeColor="text1"/>
                            <w:sz w:val="18"/>
                            <w:szCs w:val="18"/>
                            <w:lang w:val="en-US"/>
                          </w:rPr>
                          <w:t xml:space="preserve"> </w:t>
                        </w:r>
                      </w:p>
                      <w:p w14:paraId="3BF6B325" w14:textId="77777777" w:rsidR="007441D5" w:rsidRPr="00364C06" w:rsidRDefault="007441D5" w:rsidP="005808BA">
                        <w:pPr>
                          <w:jc w:val="center"/>
                          <w:rPr>
                            <w:szCs w:val="20"/>
                            <w:lang w:val="en-US"/>
                          </w:rPr>
                        </w:pPr>
                      </w:p>
                    </w:txbxContent>
                  </v:textbox>
                </v:rect>
                <v:shape id="AutoShape 357" o:spid="_x0000_s1043" type="#_x0000_t32" style="position:absolute;left:28575;top:25146;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358" o:spid="_x0000_s1044" type="#_x0000_t34" style="position:absolute;left:18858;top:5144;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"/>
                <v:line id="Straight Connector 21" o:spid="_x0000_s1045" style="position:absolute;visibility:visible;mso-wrap-style:square" from="11680,34285" to="11680,3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" strokecolor="black [3200]">
                  <v:stroke startarrow="open" endarrow="open"/>
                </v:line>
                <v:rect id="Rectangle 22" o:spid="_x0000_s1046" style="position:absolute;left:3347;top:37015;width:16791;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" fillcolor="#ff9" strokecolor="#70ad47 [3209]" strokeweight="1pt">
                  <v:textbox>
                    <w:txbxContent>
                      <w:p w14:paraId="47443D09" w14:textId="5698094F" w:rsidR="007441D5" w:rsidRPr="00364C06" w:rsidRDefault="007441D5" w:rsidP="00364C06">
                        <w:pPr>
                          <w:jc w:val="center"/>
                          <w:rPr>
                            <w:b/>
                            <w:sz w:val="20"/>
                            <w:lang w:val="en-US"/>
                          </w:rPr>
                        </w:pPr>
                        <w:r w:rsidRPr="00364C06">
                          <w:rPr>
                            <w:b/>
                            <w:color w:val="000000" w:themeColor="text1"/>
                            <w:sz w:val="16"/>
                            <w:lang w:val="en-US"/>
                          </w:rPr>
                          <w:t>Key sites for direct measurements and interviews NKK/Makamboa/ETR, Compagniekreek, East Suriname</w:t>
                        </w:r>
                        <w:r w:rsidRPr="00364C06">
                          <w:rPr>
                            <w:b/>
                            <w:sz w:val="18"/>
                            <w:lang w:val="en-US"/>
                          </w:rPr>
                          <w:t xml:space="preserve"> </w:t>
                        </w:r>
                      </w:p>
                    </w:txbxContent>
                  </v:textbox>
                </v:rect>
                <w10:anchorlock/>
              </v:group>
            </w:pict>
          </mc:Fallback>
        </mc:AlternateContent>
      </w:r>
    </w:p>
    <w:p w14:paraId="788FECD8" w14:textId="77777777" w:rsidR="005808BA" w:rsidRDefault="005808BA" w:rsidP="003222D4">
      <w:pPr>
        <w:rPr>
          <w:lang w:val="en-US"/>
        </w:rPr>
      </w:pPr>
    </w:p>
    <w:p w14:paraId="431E6E8E" w14:textId="579D2A0C" w:rsidR="00FA7F6B" w:rsidRDefault="00FA7F6B" w:rsidP="003222D4">
      <w:pPr>
        <w:rPr>
          <w:lang w:val="en-US"/>
        </w:rPr>
      </w:pPr>
      <w:r w:rsidRPr="00FA7F6B">
        <w:rPr>
          <w:lang w:val="en-US"/>
        </w:rPr>
        <w:t xml:space="preserve">The successful development of </w:t>
      </w:r>
      <w:r>
        <w:rPr>
          <w:lang w:val="en-US"/>
        </w:rPr>
        <w:t>the</w:t>
      </w:r>
      <w:r w:rsidRPr="00FA7F6B">
        <w:rPr>
          <w:lang w:val="en-US"/>
        </w:rPr>
        <w:t xml:space="preserve"> NAP will rely on the formation of </w:t>
      </w:r>
      <w:r>
        <w:rPr>
          <w:lang w:val="en-US"/>
        </w:rPr>
        <w:t>the</w:t>
      </w:r>
      <w:r w:rsidRPr="00FA7F6B">
        <w:rPr>
          <w:lang w:val="en-US"/>
        </w:rPr>
        <w:t xml:space="preserve"> Project </w:t>
      </w:r>
      <w:r>
        <w:rPr>
          <w:lang w:val="en-US"/>
        </w:rPr>
        <w:t>Board</w:t>
      </w:r>
      <w:r w:rsidRPr="00FA7F6B">
        <w:rPr>
          <w:lang w:val="en-US"/>
        </w:rPr>
        <w:t xml:space="preserve"> that will guide the NAP development through all its phases and ensure that there is proper project planning and management throughout the process. The Project </w:t>
      </w:r>
      <w:r>
        <w:rPr>
          <w:lang w:val="en-US"/>
        </w:rPr>
        <w:t>Board</w:t>
      </w:r>
      <w:r w:rsidRPr="00FA7F6B">
        <w:rPr>
          <w:lang w:val="en-US"/>
        </w:rPr>
        <w:t xml:space="preserve"> should include members from relevant governmental ministries or departments</w:t>
      </w:r>
      <w:r>
        <w:rPr>
          <w:lang w:val="en-US"/>
        </w:rPr>
        <w:t xml:space="preserve"> such as the </w:t>
      </w:r>
      <w:r w:rsidRPr="00FA7F6B">
        <w:rPr>
          <w:lang w:val="en-US"/>
        </w:rPr>
        <w:t>Ministry of Natural Resources, NIMOS, Ministry of Trade a</w:t>
      </w:r>
      <w:r>
        <w:rPr>
          <w:lang w:val="en-US"/>
        </w:rPr>
        <w:t>nd Industry, Ministry of Health</w:t>
      </w:r>
      <w:r w:rsidR="00AE1D49">
        <w:rPr>
          <w:lang w:val="en-US"/>
        </w:rPr>
        <w:t>, OGS</w:t>
      </w:r>
      <w:r>
        <w:rPr>
          <w:lang w:val="en-US"/>
        </w:rPr>
        <w:t xml:space="preserve"> and the</w:t>
      </w:r>
      <w:r w:rsidRPr="00FA7F6B">
        <w:rPr>
          <w:lang w:val="en-US"/>
        </w:rPr>
        <w:t xml:space="preserve"> UNDP</w:t>
      </w:r>
      <w:r>
        <w:rPr>
          <w:lang w:val="en-US"/>
        </w:rPr>
        <w:t>.</w:t>
      </w:r>
    </w:p>
    <w:p w14:paraId="447E1A39" w14:textId="00FD6FD0" w:rsidR="005808BA" w:rsidRDefault="00FA7F6B" w:rsidP="003222D4">
      <w:pPr>
        <w:rPr>
          <w:lang w:val="en-US"/>
        </w:rPr>
      </w:pPr>
      <w:r w:rsidRPr="00FA7F6B">
        <w:rPr>
          <w:lang w:val="en-US"/>
        </w:rPr>
        <w:lastRenderedPageBreak/>
        <w:t xml:space="preserve">Since Suriname is already developing a Minamata Initial Assessment and other relevant projects (e.g. </w:t>
      </w:r>
      <w:r w:rsidR="00AE1D49">
        <w:rPr>
          <w:lang w:val="en-US"/>
        </w:rPr>
        <w:t>Mining Act and PPG)</w:t>
      </w:r>
      <w:r w:rsidRPr="00FA7F6B">
        <w:rPr>
          <w:lang w:val="en-US"/>
        </w:rPr>
        <w:t xml:space="preserve"> it is recommended to invite a representative of each project to take part in the Project </w:t>
      </w:r>
      <w:r w:rsidR="00AE1D49">
        <w:rPr>
          <w:lang w:val="en-US"/>
        </w:rPr>
        <w:t>Board</w:t>
      </w:r>
      <w:r w:rsidRPr="00FA7F6B">
        <w:rPr>
          <w:lang w:val="en-US"/>
        </w:rPr>
        <w:t xml:space="preserve"> to ensure coordination of activities.  </w:t>
      </w:r>
    </w:p>
    <w:p w14:paraId="5CF5A466" w14:textId="2BC92F67" w:rsidR="002B6B7D" w:rsidRPr="002B6B7D" w:rsidRDefault="005808BA" w:rsidP="002B6B7D">
      <w:pPr>
        <w:shd w:val="clear" w:color="auto" w:fill="FFFFFF"/>
        <w:spacing w:after="240" w:line="240" w:lineRule="auto"/>
        <w:jc w:val="both"/>
        <w:rPr>
          <w:rFonts w:ascii="Calibri" w:eastAsia="SimSun" w:hAnsi="Calibri" w:cs="Arial"/>
          <w:i/>
          <w:noProof/>
          <w:szCs w:val="20"/>
          <w:highlight w:val="cyan"/>
          <w:lang w:val="en-US" w:eastAsia="zh-CN"/>
        </w:rPr>
      </w:pPr>
      <w:r w:rsidRPr="005808BA">
        <w:rPr>
          <w:rFonts w:ascii="Calibri" w:eastAsia="SimSun" w:hAnsi="Calibri" w:cs="Arial"/>
          <w:noProof/>
          <w:szCs w:val="20"/>
          <w:lang w:val="en-US" w:eastAsia="zh-CN"/>
        </w:rPr>
        <w:t xml:space="preserve">The </w:t>
      </w:r>
      <w:r w:rsidRPr="00AE1D49">
        <w:rPr>
          <w:rFonts w:ascii="Calibri" w:eastAsia="SimSun" w:hAnsi="Calibri" w:cs="Arial"/>
          <w:noProof/>
          <w:szCs w:val="20"/>
          <w:lang w:val="en-US" w:eastAsia="zh-CN"/>
        </w:rPr>
        <w:t>Project Board</w:t>
      </w:r>
      <w:r w:rsidRPr="005808BA">
        <w:rPr>
          <w:rFonts w:ascii="Calibri" w:eastAsia="SimSun" w:hAnsi="Calibri" w:cs="Arial"/>
          <w:noProof/>
          <w:szCs w:val="20"/>
          <w:lang w:val="en-US" w:eastAsia="zh-CN"/>
        </w:rPr>
        <w:t> </w:t>
      </w:r>
      <w:r w:rsidR="00AE1D49">
        <w:rPr>
          <w:rFonts w:ascii="Calibri" w:eastAsia="SimSun" w:hAnsi="Calibri" w:cs="Arial"/>
          <w:noProof/>
          <w:szCs w:val="20"/>
          <w:lang w:val="en-US" w:eastAsia="zh-CN"/>
        </w:rPr>
        <w:t>i</w:t>
      </w:r>
      <w:r w:rsidRPr="005808BA">
        <w:rPr>
          <w:rFonts w:ascii="Calibri" w:eastAsia="SimSun" w:hAnsi="Calibri" w:cs="Arial"/>
          <w:noProof/>
          <w:szCs w:val="20"/>
          <w:lang w:val="en-US" w:eastAsia="zh-CN"/>
        </w:rPr>
        <w:t>s responsible for making by consensus, management decisions when guidance is required by the Project Manager, including recommendation for UNDP/Implementing Partner approval of project plans and revisions.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Manager.  The terms of reference for the Project Board are contained in Annex</w:t>
      </w:r>
      <w:r w:rsidR="00D93BCA">
        <w:rPr>
          <w:rFonts w:ascii="Calibri" w:eastAsia="SimSun" w:hAnsi="Calibri" w:cs="Arial"/>
          <w:noProof/>
          <w:szCs w:val="20"/>
          <w:lang w:val="en-US" w:eastAsia="zh-CN"/>
        </w:rPr>
        <w:t xml:space="preserve"> 1</w:t>
      </w:r>
      <w:r w:rsidRPr="005808BA">
        <w:rPr>
          <w:rFonts w:ascii="Calibri" w:eastAsia="SimSun" w:hAnsi="Calibri" w:cs="Arial"/>
          <w:i/>
          <w:noProof/>
          <w:szCs w:val="20"/>
          <w:lang w:val="en-US" w:eastAsia="zh-CN"/>
        </w:rPr>
        <w:t xml:space="preserve">.  </w:t>
      </w:r>
    </w:p>
    <w:p w14:paraId="7AFD999C" w14:textId="434F6CD8" w:rsidR="002B6B7D" w:rsidRPr="00036E06" w:rsidRDefault="002B6B7D" w:rsidP="002B6B7D">
      <w:pPr>
        <w:shd w:val="clear" w:color="auto" w:fill="FFFFFF"/>
        <w:spacing w:after="240" w:line="240" w:lineRule="auto"/>
        <w:jc w:val="both"/>
        <w:rPr>
          <w:rFonts w:ascii="Calibri" w:eastAsia="SimSun" w:hAnsi="Calibri" w:cs="Arial"/>
          <w:noProof/>
          <w:szCs w:val="20"/>
          <w:lang w:val="en-US" w:eastAsia="zh-CN"/>
        </w:rPr>
      </w:pPr>
      <w:r w:rsidRPr="00036E06">
        <w:rPr>
          <w:rFonts w:ascii="Calibri" w:eastAsia="SimSun" w:hAnsi="Calibri" w:cs="Arial"/>
          <w:noProof/>
          <w:szCs w:val="20"/>
          <w:lang w:val="en-US" w:eastAsia="zh-CN"/>
        </w:rPr>
        <w:t xml:space="preserve">In addition, the Project </w:t>
      </w:r>
      <w:r w:rsidR="00F42778" w:rsidRPr="00036E06">
        <w:rPr>
          <w:rFonts w:ascii="Calibri" w:eastAsia="SimSun" w:hAnsi="Calibri" w:cs="Arial"/>
          <w:noProof/>
          <w:szCs w:val="20"/>
          <w:lang w:val="en-US" w:eastAsia="zh-CN"/>
        </w:rPr>
        <w:t>Board</w:t>
      </w:r>
      <w:r w:rsidRPr="00036E06">
        <w:rPr>
          <w:rFonts w:ascii="Calibri" w:eastAsia="SimSun" w:hAnsi="Calibri" w:cs="Arial"/>
          <w:noProof/>
          <w:szCs w:val="20"/>
          <w:lang w:val="en-US" w:eastAsia="zh-CN"/>
        </w:rPr>
        <w:t xml:space="preserve"> will identify a Technical Advisory Committee, composed of stakeholders who possess relevant knowledge and information, and whose collaboration and cooperation will be needed for the successful formulation and implementation of the NAP. The Technical Advisory Committee will include relevant members of civil society with experience and knowledge in the ASGM sector. The Project </w:t>
      </w:r>
      <w:r w:rsidR="00F42778" w:rsidRPr="00036E06">
        <w:rPr>
          <w:rFonts w:ascii="Calibri" w:eastAsia="SimSun" w:hAnsi="Calibri" w:cs="Arial"/>
          <w:noProof/>
          <w:szCs w:val="20"/>
          <w:lang w:val="en-US" w:eastAsia="zh-CN"/>
        </w:rPr>
        <w:t>Board</w:t>
      </w:r>
      <w:r w:rsidRPr="00036E06">
        <w:rPr>
          <w:rFonts w:ascii="Calibri" w:eastAsia="SimSun" w:hAnsi="Calibri" w:cs="Arial"/>
          <w:noProof/>
          <w:szCs w:val="20"/>
          <w:lang w:val="en-US" w:eastAsia="zh-CN"/>
        </w:rPr>
        <w:t xml:space="preserve"> will engage with the advisory group at regular intervals and during all phases of the NAP development and direct feedback on the NAP will be provided through a mechanism to be agreed upon by the Project </w:t>
      </w:r>
      <w:r w:rsidR="00A65C68">
        <w:rPr>
          <w:rFonts w:ascii="Calibri" w:eastAsia="SimSun" w:hAnsi="Calibri" w:cs="Arial"/>
          <w:noProof/>
          <w:szCs w:val="20"/>
          <w:lang w:val="en-US" w:eastAsia="zh-CN"/>
        </w:rPr>
        <w:t>Board</w:t>
      </w:r>
      <w:r w:rsidRPr="00036E06">
        <w:rPr>
          <w:rFonts w:ascii="Calibri" w:eastAsia="SimSun" w:hAnsi="Calibri" w:cs="Arial"/>
          <w:noProof/>
          <w:szCs w:val="20"/>
          <w:lang w:val="en-US" w:eastAsia="zh-CN"/>
        </w:rPr>
        <w:t xml:space="preserve">. </w:t>
      </w:r>
    </w:p>
    <w:p w14:paraId="7021F7C7" w14:textId="2B7036DF" w:rsidR="00036E06" w:rsidRPr="00036E06" w:rsidRDefault="00F42778" w:rsidP="002B6B7D">
      <w:pPr>
        <w:shd w:val="clear" w:color="auto" w:fill="FFFFFF"/>
        <w:spacing w:after="240" w:line="240" w:lineRule="auto"/>
        <w:jc w:val="both"/>
        <w:rPr>
          <w:rFonts w:ascii="Calibri" w:eastAsia="SimSun" w:hAnsi="Calibri" w:cs="Arial"/>
          <w:noProof/>
          <w:szCs w:val="20"/>
          <w:lang w:val="en-US" w:eastAsia="zh-CN"/>
        </w:rPr>
      </w:pPr>
      <w:r w:rsidRPr="00036E06">
        <w:rPr>
          <w:rFonts w:ascii="Calibri" w:eastAsia="SimSun" w:hAnsi="Calibri" w:cs="Arial"/>
          <w:noProof/>
          <w:szCs w:val="20"/>
          <w:lang w:val="en-US" w:eastAsia="zh-CN"/>
        </w:rPr>
        <w:t xml:space="preserve">The Project Board will meet regularly during project implementation.  The </w:t>
      </w:r>
      <w:r w:rsidR="00746598">
        <w:rPr>
          <w:rFonts w:ascii="Calibri" w:eastAsia="SimSun" w:hAnsi="Calibri" w:cs="Arial"/>
          <w:noProof/>
          <w:szCs w:val="20"/>
          <w:lang w:val="en-US" w:eastAsia="zh-CN"/>
        </w:rPr>
        <w:t>Board</w:t>
      </w:r>
      <w:r w:rsidRPr="00036E06">
        <w:rPr>
          <w:rFonts w:ascii="Calibri" w:eastAsia="SimSun" w:hAnsi="Calibri" w:cs="Arial"/>
          <w:noProof/>
          <w:szCs w:val="20"/>
          <w:lang w:val="en-US" w:eastAsia="zh-CN"/>
        </w:rPr>
        <w:t xml:space="preserve"> will evaluate the progress of the project and will take the necessary measures to guarantee the fulfillment of its goals and objectives.  The PB will take decisions on the project in line with the project objectives and these decisions will be implemented by the Executing Agency. </w:t>
      </w:r>
    </w:p>
    <w:p w14:paraId="5F557309" w14:textId="622B6F13" w:rsidR="00F42778" w:rsidRPr="00036E06" w:rsidRDefault="00F42778" w:rsidP="002B6B7D">
      <w:pPr>
        <w:shd w:val="clear" w:color="auto" w:fill="FFFFFF"/>
        <w:spacing w:after="240" w:line="240" w:lineRule="auto"/>
        <w:jc w:val="both"/>
        <w:rPr>
          <w:rFonts w:ascii="Calibri" w:eastAsia="SimSun" w:hAnsi="Calibri" w:cs="Arial"/>
          <w:noProof/>
          <w:szCs w:val="20"/>
          <w:lang w:val="en-US" w:eastAsia="zh-CN"/>
        </w:rPr>
      </w:pPr>
      <w:r w:rsidRPr="00287098">
        <w:rPr>
          <w:rFonts w:ascii="Calibri" w:eastAsia="SimSun" w:hAnsi="Calibri" w:cs="Arial"/>
          <w:b/>
          <w:noProof/>
          <w:szCs w:val="20"/>
          <w:lang w:val="en-US" w:eastAsia="zh-CN"/>
        </w:rPr>
        <w:t>Technical Advisory Group (TAG)</w:t>
      </w:r>
      <w:r w:rsidRPr="00036E06">
        <w:rPr>
          <w:rFonts w:ascii="Calibri" w:eastAsia="SimSun" w:hAnsi="Calibri" w:cs="Arial"/>
          <w:noProof/>
          <w:szCs w:val="20"/>
          <w:lang w:val="en-US" w:eastAsia="zh-CN"/>
        </w:rPr>
        <w:t>: The Technical Advisory Group (TAG) will include relevant stakeholders who possess relevant knowledge and information, and whose collaboration and cooperation will be needed for the successful formulation and future implementation of the NAP. The PB will engage with the advisory committee at regular intervals and during all phases of the NAP development and direct feedback on these documents will be provided through a mechanism to be agreed upon by the Project Board.</w:t>
      </w:r>
    </w:p>
    <w:p w14:paraId="6338DE72" w14:textId="77777777" w:rsidR="005808BA" w:rsidRPr="00036E06" w:rsidRDefault="005808BA" w:rsidP="005808BA">
      <w:pPr>
        <w:shd w:val="clear" w:color="auto" w:fill="FFFFFF"/>
        <w:spacing w:after="240" w:line="240" w:lineRule="auto"/>
        <w:jc w:val="both"/>
        <w:rPr>
          <w:rFonts w:ascii="Calibri" w:eastAsia="SimSun" w:hAnsi="Calibri" w:cs="Arial"/>
          <w:i/>
          <w:noProof/>
          <w:szCs w:val="20"/>
          <w:lang w:val="en-US" w:eastAsia="zh-CN"/>
        </w:rPr>
      </w:pPr>
      <w:r w:rsidRPr="00036E06">
        <w:rPr>
          <w:rFonts w:ascii="Calibri" w:eastAsia="SimSun" w:hAnsi="Calibri" w:cs="Arial"/>
          <w:noProof/>
          <w:szCs w:val="20"/>
          <w:lang w:val="en-US" w:eastAsia="zh-CN"/>
        </w:rPr>
        <w:t xml:space="preserve">The </w:t>
      </w:r>
      <w:r w:rsidRPr="00036E06">
        <w:rPr>
          <w:rFonts w:ascii="Calibri" w:eastAsia="SimSun" w:hAnsi="Calibri" w:cs="Arial"/>
          <w:b/>
          <w:noProof/>
          <w:szCs w:val="20"/>
          <w:lang w:val="en-US" w:eastAsia="zh-CN"/>
        </w:rPr>
        <w:t>Project Manager</w:t>
      </w:r>
      <w:r w:rsidRPr="00036E06">
        <w:rPr>
          <w:rFonts w:ascii="Calibri" w:eastAsia="SimSun" w:hAnsi="Calibri" w:cs="Arial"/>
          <w:noProof/>
          <w:szCs w:val="20"/>
          <w:lang w:val="en-US" w:eastAsia="zh-CN"/>
        </w:rPr>
        <w:t xml:space="preserve"> will run the project on a day-to-day basis on behalf of the Implementing Partner within the constraints laid down by the Board. The Project Manager function will end when the final project report, and other documentation required by the GEF and UNDP, has been completed and submitted to UNDP (including operational closure of the project).  </w:t>
      </w:r>
    </w:p>
    <w:p w14:paraId="17BAA9A3" w14:textId="5AD3995B" w:rsidR="005808BA" w:rsidRPr="00036E06" w:rsidRDefault="005808BA" w:rsidP="005808BA">
      <w:pPr>
        <w:spacing w:after="240" w:line="240" w:lineRule="auto"/>
        <w:jc w:val="both"/>
        <w:rPr>
          <w:rFonts w:ascii="Calibri" w:eastAsia="SimSun" w:hAnsi="Calibri" w:cs="Times New Roman"/>
          <w:szCs w:val="24"/>
          <w:lang w:val="en-US"/>
        </w:rPr>
      </w:pPr>
      <w:r w:rsidRPr="00036E06">
        <w:rPr>
          <w:rFonts w:ascii="Calibri" w:eastAsia="SimSun" w:hAnsi="Calibri" w:cs="Times New Roman"/>
          <w:szCs w:val="20"/>
          <w:lang w:val="en-US"/>
        </w:rPr>
        <w:t xml:space="preserve">The </w:t>
      </w:r>
      <w:r w:rsidRPr="00036E06">
        <w:rPr>
          <w:rFonts w:ascii="Calibri" w:eastAsia="SimSun" w:hAnsi="Calibri" w:cs="Times New Roman"/>
          <w:b/>
          <w:szCs w:val="20"/>
          <w:lang w:val="en-US"/>
        </w:rPr>
        <w:t>project assurance</w:t>
      </w:r>
      <w:r w:rsidRPr="00036E06">
        <w:rPr>
          <w:rFonts w:ascii="Calibri" w:eastAsia="SimSun" w:hAnsi="Calibri" w:cs="Times New Roman"/>
          <w:szCs w:val="20"/>
          <w:lang w:val="en-US"/>
        </w:rPr>
        <w:t xml:space="preserve"> roll will be provided by </w:t>
      </w:r>
      <w:r w:rsidRPr="00036E06">
        <w:rPr>
          <w:rFonts w:ascii="Calibri" w:eastAsia="SimSun" w:hAnsi="Calibri" w:cs="Times New Roman"/>
          <w:szCs w:val="24"/>
          <w:lang w:val="en-US"/>
        </w:rPr>
        <w:t>UNDP, who will augment this role to ensure that its fiduciary, environmental and social safeguards and standards are maintained. Further, the Project Assurance role supports the Project Board by carrying out objective and independent project oversight and monitoring functions. This role ensures appropriate project management milestones are managed and completed</w:t>
      </w:r>
      <w:r w:rsidR="00F005AC">
        <w:rPr>
          <w:rFonts w:ascii="Calibri" w:eastAsia="SimSun" w:hAnsi="Calibri" w:cs="Times New Roman"/>
          <w:szCs w:val="24"/>
          <w:lang w:val="en-US"/>
        </w:rPr>
        <w:t xml:space="preserve">.  </w:t>
      </w:r>
      <w:r w:rsidR="00F005AC" w:rsidRPr="00F005AC">
        <w:rPr>
          <w:rFonts w:ascii="Calibri" w:eastAsia="SimSun" w:hAnsi="Calibri" w:cs="Times New Roman"/>
          <w:szCs w:val="24"/>
          <w:lang w:val="en-US"/>
        </w:rPr>
        <w:t>Additional quality assurance will be provided by the UNDP Regional Technical Advisor as needed.</w:t>
      </w:r>
    </w:p>
    <w:p w14:paraId="42123B26" w14:textId="6080DA6F" w:rsidR="00CA06B3" w:rsidRPr="00036E06" w:rsidRDefault="00CA06B3" w:rsidP="00CA06B3">
      <w:pPr>
        <w:spacing w:after="240" w:line="240" w:lineRule="auto"/>
        <w:jc w:val="both"/>
        <w:rPr>
          <w:rFonts w:ascii="Calibri" w:eastAsia="SimSun" w:hAnsi="Calibri" w:cs="Times New Roman"/>
          <w:szCs w:val="24"/>
          <w:lang w:val="en-US"/>
        </w:rPr>
      </w:pPr>
      <w:r w:rsidRPr="00036E06">
        <w:rPr>
          <w:rFonts w:ascii="Calibri" w:eastAsia="SimSun" w:hAnsi="Calibri" w:cs="Times New Roman"/>
          <w:b/>
          <w:szCs w:val="24"/>
          <w:lang w:val="en-US"/>
        </w:rPr>
        <w:t>Implementing Agency</w:t>
      </w:r>
      <w:r w:rsidRPr="00036E06">
        <w:rPr>
          <w:rFonts w:ascii="Calibri" w:eastAsia="SimSun" w:hAnsi="Calibri" w:cs="Times New Roman"/>
          <w:szCs w:val="24"/>
          <w:lang w:val="en-US"/>
        </w:rPr>
        <w:t xml:space="preserve"> (IA): this project will be implemented by UN</w:t>
      </w:r>
      <w:r w:rsidR="00F041A0" w:rsidRPr="00036E06">
        <w:rPr>
          <w:rFonts w:ascii="Calibri" w:eastAsia="SimSun" w:hAnsi="Calibri" w:cs="Times New Roman"/>
          <w:szCs w:val="24"/>
          <w:lang w:val="en-US"/>
        </w:rPr>
        <w:t>D</w:t>
      </w:r>
      <w:r w:rsidRPr="00036E06">
        <w:rPr>
          <w:rFonts w:ascii="Calibri" w:eastAsia="SimSun" w:hAnsi="Calibri" w:cs="Times New Roman"/>
          <w:szCs w:val="24"/>
          <w:lang w:val="en-US"/>
        </w:rPr>
        <w:t xml:space="preserve">P and executed by </w:t>
      </w:r>
      <w:r w:rsidR="00F041A0" w:rsidRPr="00036E06">
        <w:rPr>
          <w:rFonts w:ascii="Calibri" w:eastAsia="SimSun" w:hAnsi="Calibri" w:cs="Times New Roman"/>
          <w:szCs w:val="24"/>
          <w:lang w:val="en-US"/>
        </w:rPr>
        <w:t>NIMOS. As Implementing Agency, UNDP</w:t>
      </w:r>
      <w:r w:rsidRPr="00036E06">
        <w:rPr>
          <w:rFonts w:ascii="Calibri" w:eastAsia="SimSun" w:hAnsi="Calibri" w:cs="Times New Roman"/>
          <w:szCs w:val="24"/>
          <w:lang w:val="en-US"/>
        </w:rPr>
        <w:t xml:space="preserve"> will be responsible for the overall project supervision, overseeing the project progress through the monitoring and evaluation of project activities and progress reports, including on technical issues. In close collaboration with the Executing Agency, UN</w:t>
      </w:r>
      <w:r w:rsidR="00F041A0" w:rsidRPr="00036E06">
        <w:rPr>
          <w:rFonts w:ascii="Calibri" w:eastAsia="SimSun" w:hAnsi="Calibri" w:cs="Times New Roman"/>
          <w:szCs w:val="24"/>
          <w:lang w:val="en-US"/>
        </w:rPr>
        <w:t>D</w:t>
      </w:r>
      <w:r w:rsidRPr="00036E06">
        <w:rPr>
          <w:rFonts w:ascii="Calibri" w:eastAsia="SimSun" w:hAnsi="Calibri" w:cs="Times New Roman"/>
          <w:szCs w:val="24"/>
          <w:lang w:val="en-US"/>
        </w:rPr>
        <w:t xml:space="preserve">P will provide administrative support to the Executing Agency.  </w:t>
      </w:r>
    </w:p>
    <w:p w14:paraId="36CA5C66" w14:textId="6ABCCCFE" w:rsidR="00CA06B3" w:rsidRPr="00CA06B3" w:rsidRDefault="00CA06B3" w:rsidP="00CA06B3">
      <w:pPr>
        <w:spacing w:after="240" w:line="240" w:lineRule="auto"/>
        <w:jc w:val="both"/>
        <w:rPr>
          <w:rFonts w:ascii="Calibri" w:eastAsia="SimSun" w:hAnsi="Calibri" w:cs="Times New Roman"/>
          <w:szCs w:val="24"/>
          <w:lang w:val="en-US"/>
        </w:rPr>
      </w:pPr>
    </w:p>
    <w:p w14:paraId="0C478FF2" w14:textId="77777777" w:rsidR="00CA06B3" w:rsidRPr="00CA06B3" w:rsidRDefault="00CA06B3" w:rsidP="00CA06B3">
      <w:pPr>
        <w:spacing w:after="240" w:line="240" w:lineRule="auto"/>
        <w:jc w:val="both"/>
        <w:rPr>
          <w:rFonts w:ascii="Calibri" w:eastAsia="SimSun" w:hAnsi="Calibri" w:cs="Times New Roman"/>
          <w:szCs w:val="24"/>
          <w:lang w:val="en-US"/>
        </w:rPr>
      </w:pPr>
      <w:r w:rsidRPr="00CA06B3">
        <w:rPr>
          <w:rFonts w:ascii="Calibri" w:eastAsia="SimSun" w:hAnsi="Calibri" w:cs="Times New Roman"/>
          <w:szCs w:val="24"/>
          <w:lang w:val="en-US"/>
        </w:rPr>
        <w:t xml:space="preserve"> </w:t>
      </w:r>
    </w:p>
    <w:p w14:paraId="3069F70E" w14:textId="77777777" w:rsidR="00CA06B3" w:rsidRPr="00CA06B3" w:rsidRDefault="00CA06B3" w:rsidP="00CA06B3">
      <w:pPr>
        <w:spacing w:after="240" w:line="240" w:lineRule="auto"/>
        <w:jc w:val="both"/>
        <w:rPr>
          <w:rFonts w:ascii="Calibri" w:eastAsia="SimSun" w:hAnsi="Calibri" w:cs="Times New Roman"/>
          <w:szCs w:val="24"/>
          <w:lang w:val="en-US"/>
        </w:rPr>
      </w:pPr>
      <w:r w:rsidRPr="00CA06B3">
        <w:rPr>
          <w:rFonts w:ascii="Calibri" w:eastAsia="SimSun" w:hAnsi="Calibri" w:cs="Times New Roman"/>
          <w:szCs w:val="24"/>
          <w:lang w:val="en-US"/>
        </w:rPr>
        <w:t xml:space="preserve"> </w:t>
      </w:r>
    </w:p>
    <w:p w14:paraId="6C379A24" w14:textId="43CD8388" w:rsidR="00CA06B3" w:rsidRPr="00CA06B3" w:rsidRDefault="00CA06B3" w:rsidP="00CA06B3">
      <w:pPr>
        <w:spacing w:after="240" w:line="240" w:lineRule="auto"/>
        <w:jc w:val="both"/>
        <w:rPr>
          <w:rFonts w:ascii="Calibri" w:eastAsia="SimSun" w:hAnsi="Calibri" w:cs="Times New Roman"/>
          <w:szCs w:val="24"/>
          <w:lang w:val="en-US"/>
        </w:rPr>
      </w:pPr>
    </w:p>
    <w:p w14:paraId="3562BE23" w14:textId="77777777" w:rsidR="00CA06B3" w:rsidRPr="005808BA" w:rsidRDefault="00CA06B3" w:rsidP="005808BA">
      <w:pPr>
        <w:spacing w:after="240" w:line="240" w:lineRule="auto"/>
        <w:jc w:val="both"/>
        <w:rPr>
          <w:rFonts w:ascii="Calibri" w:eastAsia="SimSun" w:hAnsi="Calibri" w:cs="Times New Roman"/>
          <w:szCs w:val="20"/>
          <w:lang w:val="en-US"/>
        </w:rPr>
      </w:pPr>
    </w:p>
    <w:p w14:paraId="4FA2F406" w14:textId="77777777" w:rsidR="00EA420E" w:rsidRPr="00EA420E" w:rsidRDefault="005808BA" w:rsidP="00EA420E">
      <w:pPr>
        <w:pStyle w:val="NoSpacing"/>
        <w:rPr>
          <w:color w:val="FF0000"/>
          <w:u w:val="single"/>
          <w:lang w:val="en-US"/>
        </w:rPr>
      </w:pPr>
      <w:r w:rsidRPr="00EA420E">
        <w:rPr>
          <w:u w:val="single"/>
          <w:lang w:val="en-US"/>
        </w:rPr>
        <w:t>Governance role for project target groups:</w:t>
      </w:r>
      <w:r w:rsidRPr="00EA420E">
        <w:rPr>
          <w:color w:val="FF0000"/>
          <w:u w:val="single"/>
          <w:lang w:val="en-US"/>
        </w:rPr>
        <w:t xml:space="preserve">  </w:t>
      </w:r>
    </w:p>
    <w:p w14:paraId="02D43C2C" w14:textId="39787507" w:rsidR="005808BA" w:rsidRPr="00287098" w:rsidRDefault="00036E06" w:rsidP="005808BA">
      <w:pPr>
        <w:spacing w:after="240" w:line="240" w:lineRule="auto"/>
        <w:jc w:val="both"/>
        <w:rPr>
          <w:rFonts w:eastAsia="SimSun" w:cstheme="minorHAnsi"/>
          <w:i/>
          <w:lang w:val="en-US"/>
        </w:rPr>
      </w:pPr>
      <w:r w:rsidRPr="00287098">
        <w:rPr>
          <w:rFonts w:eastAsia="SimSun" w:cstheme="minorHAnsi"/>
          <w:lang w:val="en-US"/>
        </w:rPr>
        <w:t xml:space="preserve">The MIA project works with </w:t>
      </w:r>
      <w:r w:rsidR="006161D5" w:rsidRPr="00287098">
        <w:rPr>
          <w:rFonts w:eastAsia="SimSun" w:cstheme="minorHAnsi"/>
          <w:lang w:val="en-US"/>
        </w:rPr>
        <w:t>several</w:t>
      </w:r>
      <w:r w:rsidR="005808BA" w:rsidRPr="00287098">
        <w:rPr>
          <w:rFonts w:eastAsia="SimSun" w:cstheme="minorHAnsi"/>
          <w:lang w:val="en-US"/>
        </w:rPr>
        <w:t xml:space="preserve"> technical working groups consisting also of beneficiaries</w:t>
      </w:r>
      <w:r w:rsidRPr="00287098">
        <w:rPr>
          <w:rFonts w:eastAsia="SimSun" w:cstheme="minorHAnsi"/>
          <w:lang w:val="en-US"/>
        </w:rPr>
        <w:t>. They function as</w:t>
      </w:r>
      <w:r w:rsidR="005808BA" w:rsidRPr="00287098">
        <w:rPr>
          <w:rFonts w:eastAsia="SimSun" w:cstheme="minorHAnsi"/>
          <w:lang w:val="en-US"/>
        </w:rPr>
        <w:t xml:space="preserve"> counterpart groups to different project and technical assessment teams at the start of project implementation. The</w:t>
      </w:r>
      <w:r w:rsidRPr="00287098">
        <w:rPr>
          <w:rFonts w:eastAsia="SimSun" w:cstheme="minorHAnsi"/>
          <w:lang w:val="en-US"/>
        </w:rPr>
        <w:t xml:space="preserve"> structure of these </w:t>
      </w:r>
      <w:r w:rsidR="005808BA" w:rsidRPr="00287098">
        <w:rPr>
          <w:rFonts w:eastAsia="SimSun" w:cstheme="minorHAnsi"/>
          <w:lang w:val="en-US"/>
        </w:rPr>
        <w:t>technical working groups</w:t>
      </w:r>
      <w:r w:rsidRPr="00287098">
        <w:rPr>
          <w:rFonts w:eastAsia="SimSun" w:cstheme="minorHAnsi"/>
          <w:lang w:val="en-US"/>
        </w:rPr>
        <w:t xml:space="preserve"> can also be used in the NAP development, because they</w:t>
      </w:r>
      <w:r w:rsidR="005808BA" w:rsidRPr="00287098">
        <w:rPr>
          <w:rFonts w:eastAsia="SimSun" w:cstheme="minorHAnsi"/>
          <w:lang w:val="en-US"/>
        </w:rPr>
        <w:t xml:space="preserve"> ensure participatory preparation as well as additional quality assurance and ownership of deliverables.</w:t>
      </w:r>
    </w:p>
    <w:p w14:paraId="23152519" w14:textId="77777777" w:rsidR="005808BA" w:rsidRPr="000347A4" w:rsidRDefault="005808BA" w:rsidP="000347A4">
      <w:pPr>
        <w:pStyle w:val="NoSpacing"/>
        <w:rPr>
          <w:i/>
          <w:u w:val="single"/>
          <w:lang w:val="en-US"/>
        </w:rPr>
      </w:pPr>
      <w:r w:rsidRPr="000347A4">
        <w:rPr>
          <w:u w:val="single"/>
          <w:lang w:val="en-US"/>
        </w:rPr>
        <w:t>UNDP Direct Project Services as requested by Government:</w:t>
      </w:r>
    </w:p>
    <w:p w14:paraId="7D3D0400" w14:textId="248B72BF" w:rsidR="005808BA" w:rsidRDefault="005808BA" w:rsidP="005808BA">
      <w:pPr>
        <w:spacing w:after="240" w:line="240" w:lineRule="auto"/>
        <w:jc w:val="both"/>
        <w:rPr>
          <w:rFonts w:ascii="Calibri" w:eastAsia="SimSun" w:hAnsi="Calibri" w:cs="Times New Roman"/>
          <w:szCs w:val="20"/>
          <w:lang w:val="en-US"/>
        </w:rPr>
      </w:pPr>
      <w:r w:rsidRPr="000347A4">
        <w:rPr>
          <w:rFonts w:ascii="Calibri" w:eastAsia="SimSun" w:hAnsi="Calibri" w:cs="Times New Roman"/>
          <w:szCs w:val="20"/>
          <w:lang w:val="en-US"/>
        </w:rPr>
        <w:t>The enclosed letter of agreement identifies per which UNDP support services to NIM will be provided to</w:t>
      </w:r>
      <w:r w:rsidRPr="005808BA">
        <w:rPr>
          <w:rFonts w:ascii="Calibri" w:eastAsia="SimSun" w:hAnsi="Calibri" w:cs="Times New Roman"/>
          <w:szCs w:val="20"/>
          <w:lang w:val="en-US"/>
        </w:rPr>
        <w:t xml:space="preserve"> the implementing partner of the project, the national institute for Environment and Development</w:t>
      </w:r>
      <w:r w:rsidR="00EE60E6">
        <w:rPr>
          <w:rFonts w:ascii="Calibri" w:eastAsia="SimSun" w:hAnsi="Calibri" w:cs="Times New Roman"/>
          <w:szCs w:val="20"/>
          <w:lang w:val="en-US"/>
        </w:rPr>
        <w:t>.</w:t>
      </w:r>
    </w:p>
    <w:p w14:paraId="0B00DACC" w14:textId="77777777" w:rsidR="00EE60E6" w:rsidRPr="002D5C56" w:rsidRDefault="00EE60E6" w:rsidP="005808BA">
      <w:pPr>
        <w:spacing w:after="240" w:line="240" w:lineRule="auto"/>
        <w:jc w:val="both"/>
        <w:rPr>
          <w:rFonts w:ascii="Calibri" w:eastAsia="SimSun" w:hAnsi="Calibri" w:cs="Times New Roman"/>
          <w:szCs w:val="20"/>
          <w:lang w:val="en-US"/>
        </w:rPr>
      </w:pPr>
      <w:r w:rsidRPr="002D5C56">
        <w:rPr>
          <w:rFonts w:ascii="Calibri" w:eastAsia="SimSun" w:hAnsi="Calibri" w:cs="Times New Roman"/>
          <w:szCs w:val="20"/>
          <w:lang w:val="en-US"/>
        </w:rPr>
        <w:t xml:space="preserve">UNDP, as GEF Agency for this project, will provide project management cycle services for the project as defined by the GEF Council.  In addition, the Government of Suriname may request UNDP direct services for specific projects, according to its policies and convenience.  </w:t>
      </w:r>
    </w:p>
    <w:p w14:paraId="14BDBEBD" w14:textId="018CEACA" w:rsidR="00EE60E6" w:rsidRPr="002D5C56" w:rsidRDefault="00EE60E6" w:rsidP="005808BA">
      <w:pPr>
        <w:spacing w:after="240" w:line="240" w:lineRule="auto"/>
        <w:jc w:val="both"/>
        <w:rPr>
          <w:rFonts w:ascii="Calibri" w:eastAsia="SimSun" w:hAnsi="Calibri" w:cs="Times New Roman"/>
          <w:szCs w:val="20"/>
          <w:lang w:val="en-US"/>
        </w:rPr>
      </w:pPr>
      <w:r w:rsidRPr="002D5C56">
        <w:rPr>
          <w:rFonts w:ascii="Calibri" w:eastAsia="SimSun" w:hAnsi="Calibri" w:cs="Times New Roman"/>
          <w:szCs w:val="20"/>
          <w:lang w:val="en-US"/>
        </w:rPr>
        <w:t>UNDP and Government of Suriname acknowledge and agree that those services are not mandatory, and will be provided only upon Government request. If requested the services would follow the UNDP policies on the recovery of direct costs. These services (and their costs) are specified in the Letter of Agreement (</w:t>
      </w:r>
      <w:r>
        <w:rPr>
          <w:rFonts w:ascii="Calibri" w:eastAsia="SimSun" w:hAnsi="Calibri" w:cs="Times New Roman"/>
          <w:szCs w:val="20"/>
          <w:lang w:val="en-US"/>
        </w:rPr>
        <w:t>view annexes</w:t>
      </w:r>
      <w:r w:rsidRPr="002D5C56">
        <w:rPr>
          <w:rFonts w:ascii="Calibri" w:eastAsia="SimSun" w:hAnsi="Calibri" w:cs="Times New Roman"/>
          <w:szCs w:val="20"/>
          <w:lang w:val="en-US"/>
        </w:rPr>
        <w:t>). As is determined by the GEF Council requirements, these service costs will be assigned as Project Management Cost, duly identified in the project budget as Direct Project Costs. Eligible Direct Project Costs should not be charged as a flat percentage.   They should be calculated on the basis of estimated actual or transaction based costs and should be charged to the direct project costs account codes: 64397 – ‘Services to projects - CO staff’ and 74596 – ‘Services to projects - GOE for CO’.</w:t>
      </w:r>
    </w:p>
    <w:p w14:paraId="28CF75A1" w14:textId="77777777" w:rsidR="005808BA" w:rsidRPr="005808BA" w:rsidRDefault="005808BA" w:rsidP="005808BA">
      <w:pPr>
        <w:spacing w:after="240" w:line="240" w:lineRule="auto"/>
        <w:jc w:val="both"/>
        <w:rPr>
          <w:rFonts w:ascii="Calibri" w:eastAsia="SimSun" w:hAnsi="Calibri" w:cs="Calibri"/>
          <w:szCs w:val="20"/>
          <w:lang w:val="en-US"/>
        </w:rPr>
      </w:pPr>
      <w:r w:rsidRPr="005808BA">
        <w:rPr>
          <w:rFonts w:ascii="Calibri" w:eastAsia="SimSun" w:hAnsi="Calibri" w:cs="Times New Roman"/>
          <w:szCs w:val="20"/>
          <w:u w:val="single"/>
          <w:lang w:val="en-US"/>
        </w:rPr>
        <w:t>Agreement on intellectual property rights and use of logo on the project’s deliverables</w:t>
      </w:r>
      <w:r w:rsidRPr="005808BA">
        <w:rPr>
          <w:rFonts w:ascii="Calibri" w:eastAsia="SimSun" w:hAnsi="Calibri" w:cs="Times New Roman"/>
          <w:b/>
          <w:szCs w:val="20"/>
          <w:lang w:val="en-US"/>
        </w:rPr>
        <w:t xml:space="preserve">:  </w:t>
      </w:r>
      <w:r w:rsidRPr="005808BA">
        <w:rPr>
          <w:rFonts w:ascii="Calibri" w:eastAsia="SimSun" w:hAnsi="Calibri" w:cs="Calibri"/>
          <w:szCs w:val="20"/>
          <w:lang w:val="en-US"/>
        </w:rPr>
        <w:t xml:space="preserve">In order to accord proper acknowledgement to the GEF for providing funding, the GEF logo will appear together with the UNDP logo on all promotional materials, other written materials like publications developed by the project, and project hardware.  Any citation on publications regarding projects funded by the GEF will also accord proper acknowledgement to the GEF. </w:t>
      </w:r>
    </w:p>
    <w:p w14:paraId="39E05E41" w14:textId="77777777" w:rsidR="005808BA" w:rsidRPr="005808BA" w:rsidRDefault="005808BA" w:rsidP="005808BA">
      <w:pPr>
        <w:spacing w:after="240" w:line="240" w:lineRule="auto"/>
        <w:jc w:val="both"/>
        <w:rPr>
          <w:rFonts w:ascii="Calibri" w:eastAsia="SimSun" w:hAnsi="Calibri" w:cs="Arial"/>
          <w:i/>
          <w:noProof/>
          <w:szCs w:val="20"/>
          <w:lang w:val="en-US" w:eastAsia="zh-CN"/>
        </w:rPr>
      </w:pPr>
      <w:r w:rsidRPr="005808BA">
        <w:rPr>
          <w:rFonts w:ascii="Calibri" w:eastAsia="SimSun" w:hAnsi="Calibri" w:cs="Arial"/>
          <w:noProof/>
          <w:szCs w:val="20"/>
          <w:u w:val="single"/>
          <w:lang w:val="en-US" w:eastAsia="zh-CN"/>
        </w:rPr>
        <w:t>Project management</w:t>
      </w:r>
      <w:r w:rsidRPr="005808BA">
        <w:rPr>
          <w:rFonts w:ascii="Calibri" w:eastAsia="SimSun" w:hAnsi="Calibri" w:cs="Arial"/>
          <w:i/>
          <w:noProof/>
          <w:szCs w:val="20"/>
          <w:lang w:val="en-US" w:eastAsia="zh-CN"/>
        </w:rPr>
        <w:t xml:space="preserve">:  </w:t>
      </w:r>
      <w:r w:rsidRPr="005808BA">
        <w:rPr>
          <w:rFonts w:ascii="Calibri" w:eastAsia="SimSun" w:hAnsi="Calibri" w:cs="Arial"/>
          <w:noProof/>
          <w:szCs w:val="20"/>
          <w:lang w:val="en-US" w:eastAsia="zh-CN"/>
        </w:rPr>
        <w:t>project is national in scope with project office operated out of NIMOS in the Capital of Paramaribo.</w:t>
      </w:r>
    </w:p>
    <w:p w14:paraId="6F8CC95D" w14:textId="77777777" w:rsidR="005808BA" w:rsidRPr="005808BA" w:rsidRDefault="005808BA" w:rsidP="005808BA">
      <w:pPr>
        <w:spacing w:after="240" w:line="240" w:lineRule="auto"/>
        <w:jc w:val="both"/>
        <w:rPr>
          <w:rFonts w:ascii="Calibri" w:eastAsia="SimSun" w:hAnsi="Calibri" w:cs="Arial"/>
          <w:i/>
          <w:noProof/>
          <w:szCs w:val="20"/>
          <w:lang w:val="en-US" w:eastAsia="zh-CN"/>
        </w:rPr>
      </w:pPr>
    </w:p>
    <w:p w14:paraId="0715E841" w14:textId="77777777" w:rsidR="005808BA" w:rsidRPr="006451BA" w:rsidRDefault="005808BA" w:rsidP="00AA15F8">
      <w:pPr>
        <w:pStyle w:val="Heading1"/>
        <w:numPr>
          <w:ilvl w:val="0"/>
          <w:numId w:val="26"/>
        </w:numPr>
      </w:pPr>
      <w:bookmarkStart w:id="22" w:name="_Toc487589376"/>
      <w:bookmarkStart w:id="23" w:name="_Toc407785521"/>
      <w:bookmarkStart w:id="24" w:name="_Toc207800915"/>
      <w:bookmarkStart w:id="25" w:name="_Toc407785523"/>
      <w:bookmarkStart w:id="26" w:name="_Toc207800913"/>
      <w:r w:rsidRPr="006451BA">
        <w:lastRenderedPageBreak/>
        <w:t>Financial Planning and Management</w:t>
      </w:r>
      <w:bookmarkEnd w:id="22"/>
      <w:r w:rsidRPr="006451BA">
        <w:t xml:space="preserve"> </w:t>
      </w:r>
    </w:p>
    <w:bookmarkEnd w:id="23"/>
    <w:p w14:paraId="6E7BB5A4" w14:textId="416F0D5F" w:rsidR="005808BA" w:rsidRPr="005808BA" w:rsidRDefault="005808BA" w:rsidP="005808BA">
      <w:pPr>
        <w:autoSpaceDE w:val="0"/>
        <w:autoSpaceDN w:val="0"/>
        <w:adjustRightInd w:val="0"/>
        <w:spacing w:after="0" w:line="240" w:lineRule="auto"/>
        <w:jc w:val="both"/>
        <w:rPr>
          <w:rFonts w:ascii="Calibri" w:eastAsia="SimSun" w:hAnsi="Calibri" w:cs="Times New Roman"/>
          <w:color w:val="000000"/>
          <w:lang w:val="en-US"/>
        </w:rPr>
      </w:pPr>
      <w:r w:rsidRPr="00EA420E">
        <w:rPr>
          <w:rFonts w:ascii="Calibri" w:eastAsia="SimSun" w:hAnsi="Calibri" w:cs="Times New Roman"/>
          <w:color w:val="000000"/>
          <w:lang w:val="en-US"/>
        </w:rPr>
        <w:t xml:space="preserve">The total cost of the project is USD </w:t>
      </w:r>
      <w:r w:rsidR="00036E06" w:rsidRPr="00EA420E">
        <w:rPr>
          <w:rFonts w:ascii="Calibri" w:eastAsia="SimSun" w:hAnsi="Calibri" w:cs="Times New Roman"/>
          <w:color w:val="000000"/>
          <w:lang w:val="en-US"/>
        </w:rPr>
        <w:t>5</w:t>
      </w:r>
      <w:r w:rsidRPr="00EA420E">
        <w:rPr>
          <w:rFonts w:ascii="Calibri" w:eastAsia="SimSun" w:hAnsi="Calibri" w:cs="Times New Roman"/>
          <w:color w:val="000000"/>
          <w:lang w:val="en-US"/>
        </w:rPr>
        <w:t>00,000</w:t>
      </w:r>
      <w:r w:rsidRPr="00EA420E">
        <w:rPr>
          <w:rFonts w:ascii="Calibri" w:eastAsia="SimSun" w:hAnsi="Calibri" w:cs="Times New Roman"/>
          <w:i/>
          <w:color w:val="000000"/>
          <w:lang w:val="en-US"/>
        </w:rPr>
        <w:t xml:space="preserve">.  </w:t>
      </w:r>
      <w:r w:rsidRPr="00EA420E">
        <w:rPr>
          <w:rFonts w:ascii="Calibri" w:eastAsia="SimSun" w:hAnsi="Calibri" w:cs="Times New Roman"/>
          <w:color w:val="000000"/>
          <w:lang w:val="en-US"/>
        </w:rPr>
        <w:t xml:space="preserve">This is financed through a GEF grant of USD </w:t>
      </w:r>
      <w:r w:rsidR="001768FB" w:rsidRPr="00EA420E">
        <w:rPr>
          <w:rFonts w:ascii="Calibri" w:eastAsia="SimSun" w:hAnsi="Calibri" w:cs="Times New Roman"/>
          <w:color w:val="000000"/>
          <w:lang w:val="en-US"/>
        </w:rPr>
        <w:t>5</w:t>
      </w:r>
      <w:r w:rsidRPr="00EA420E">
        <w:rPr>
          <w:rFonts w:ascii="Calibri" w:eastAsia="SimSun" w:hAnsi="Calibri" w:cs="Times New Roman"/>
          <w:color w:val="000000"/>
          <w:lang w:val="en-US"/>
        </w:rPr>
        <w:t>00,000.  UNDP,</w:t>
      </w:r>
      <w:r w:rsidRPr="005808BA">
        <w:rPr>
          <w:rFonts w:ascii="Calibri" w:eastAsia="SimSun" w:hAnsi="Calibri" w:cs="Times New Roman"/>
          <w:color w:val="000000"/>
          <w:lang w:val="en-US"/>
        </w:rPr>
        <w:t xml:space="preserve"> as the GEF Implementing Agency, is responsible for the execution of the GEF resources and the </w:t>
      </w:r>
      <w:r w:rsidRPr="005808BA">
        <w:rPr>
          <w:rFonts w:ascii="Calibri" w:eastAsia="SimSun" w:hAnsi="Calibri" w:cs="Times New Roman"/>
          <w:color w:val="000000"/>
          <w:lang w:val="en-US" w:eastAsia="zh-CN"/>
        </w:rPr>
        <w:t>cash co-financing transferred to UNDP bank account only</w:t>
      </w:r>
      <w:r w:rsidRPr="005808BA">
        <w:rPr>
          <w:rFonts w:ascii="Calibri" w:eastAsia="SimSun" w:hAnsi="Calibri" w:cs="Times New Roman"/>
          <w:color w:val="000000"/>
          <w:lang w:val="en-US"/>
        </w:rPr>
        <w:t xml:space="preserve">.   </w:t>
      </w:r>
    </w:p>
    <w:p w14:paraId="1AF43EFB" w14:textId="77777777" w:rsidR="005808BA" w:rsidRPr="005808BA" w:rsidRDefault="005808BA" w:rsidP="005808BA">
      <w:pPr>
        <w:autoSpaceDE w:val="0"/>
        <w:autoSpaceDN w:val="0"/>
        <w:adjustRightInd w:val="0"/>
        <w:spacing w:after="0" w:line="240" w:lineRule="auto"/>
        <w:jc w:val="both"/>
        <w:rPr>
          <w:rFonts w:ascii="Calibri" w:eastAsia="SimSun" w:hAnsi="Calibri" w:cs="Times New Roman"/>
          <w:color w:val="000000"/>
          <w:lang w:val="en-US"/>
        </w:rPr>
      </w:pPr>
    </w:p>
    <w:p w14:paraId="2720D3F7" w14:textId="77777777" w:rsidR="005808BA" w:rsidRPr="005808BA" w:rsidRDefault="005808BA" w:rsidP="00746598">
      <w:pPr>
        <w:pStyle w:val="NoSpacing"/>
        <w:rPr>
          <w:lang w:val="en-US"/>
        </w:rPr>
      </w:pPr>
      <w:r w:rsidRPr="005808BA">
        <w:rPr>
          <w:u w:val="single"/>
          <w:lang w:val="en-US"/>
        </w:rPr>
        <w:t>Parallel co-financing</w:t>
      </w:r>
      <w:r w:rsidRPr="005808BA">
        <w:rPr>
          <w:lang w:val="en-US"/>
        </w:rPr>
        <w:t>:  Is it is an Enabling Activity, no co-finance requirements appl.:</w:t>
      </w:r>
    </w:p>
    <w:p w14:paraId="0AF5CB2D" w14:textId="77777777" w:rsidR="00746598" w:rsidRDefault="00746598" w:rsidP="00746598">
      <w:pPr>
        <w:pStyle w:val="NoSpacing"/>
        <w:rPr>
          <w:u w:val="single"/>
          <w:lang w:val="en-US"/>
        </w:rPr>
      </w:pPr>
    </w:p>
    <w:p w14:paraId="4047F880" w14:textId="77777777" w:rsidR="005808BA" w:rsidRPr="005808BA" w:rsidRDefault="005808BA" w:rsidP="005808BA">
      <w:pPr>
        <w:spacing w:after="240" w:line="240" w:lineRule="auto"/>
        <w:jc w:val="both"/>
        <w:rPr>
          <w:rFonts w:ascii="Calibri" w:eastAsia="SimSun" w:hAnsi="Calibri" w:cs="Times New Roman"/>
          <w:lang w:val="en-US"/>
        </w:rPr>
      </w:pPr>
      <w:r w:rsidRPr="005808BA">
        <w:rPr>
          <w:rFonts w:ascii="Calibri" w:eastAsia="SimSun" w:hAnsi="Calibri" w:cs="Times New Roman"/>
          <w:u w:val="single"/>
          <w:lang w:val="en-US"/>
        </w:rPr>
        <w:t>Budget Revision and Tolerance</w:t>
      </w:r>
      <w:r w:rsidRPr="005808BA">
        <w:rPr>
          <w:rFonts w:ascii="Calibri" w:eastAsia="SimSun" w:hAnsi="Calibri" w:cs="Times New Roman"/>
          <w:lang w:val="en-US"/>
        </w:rPr>
        <w:t>:  As per the UNDP requirements outlined in the UNDP POPP, the project board can agree on a budget tolerance level for each plan under the overall annual work plan allowing the project manager to expend up to the tolerance level beyond the approved project budget amount for the year without requiring a revision from the project board. Should the following deviations occur, the Project Manager and UNDP Country Office will seek the approval of the UNDP-GEF team as these are considered major amendments by the GEF: a) budget re-allocations among components in the project with amounts involving 10% of the total project grant or more; b) introduction of new budget items/or components that exceed 5% of original GEF allocation.</w:t>
      </w:r>
    </w:p>
    <w:p w14:paraId="24152D9A" w14:textId="77777777" w:rsidR="005808BA" w:rsidRPr="005808BA" w:rsidRDefault="005808BA" w:rsidP="005808BA">
      <w:pPr>
        <w:spacing w:after="240" w:line="240" w:lineRule="auto"/>
        <w:jc w:val="both"/>
        <w:rPr>
          <w:rFonts w:ascii="Calibri" w:eastAsia="SimSun" w:hAnsi="Calibri" w:cs="Times New Roman"/>
          <w:lang w:val="en-US"/>
        </w:rPr>
      </w:pPr>
      <w:r w:rsidRPr="005808BA">
        <w:rPr>
          <w:rFonts w:ascii="Calibri" w:eastAsia="SimSun" w:hAnsi="Calibri" w:cs="Times New Roman"/>
          <w:u w:val="single"/>
          <w:lang w:val="en-US"/>
        </w:rPr>
        <w:t>Project Closure</w:t>
      </w:r>
      <w:r w:rsidRPr="005808BA">
        <w:rPr>
          <w:rFonts w:ascii="Calibri" w:eastAsia="SimSun" w:hAnsi="Calibri" w:cs="Times New Roman"/>
          <w:lang w:val="en-US"/>
        </w:rPr>
        <w:t>:  Project closure will be conducted as per the UNDP requirements outlined in the UNDP POPP (see (</w:t>
      </w:r>
      <w:hyperlink r:id="rId16" w:history="1">
        <w:r w:rsidRPr="005808BA">
          <w:rPr>
            <w:rFonts w:ascii="Calibri" w:eastAsia="SimSun" w:hAnsi="Calibri" w:cs="Times New Roman"/>
            <w:color w:val="0000FF"/>
            <w:u w:val="single"/>
            <w:lang w:val="en-US"/>
          </w:rPr>
          <w:t>https://info.undp.org/global/popp/ppm/Pages/Closing-a-Project.aspx</w:t>
        </w:r>
      </w:hyperlink>
      <w:r w:rsidRPr="005808BA">
        <w:rPr>
          <w:rFonts w:ascii="Calibri" w:eastAsia="SimSun" w:hAnsi="Calibri" w:cs="Times New Roman"/>
          <w:lang w:val="en-US"/>
        </w:rPr>
        <w:t xml:space="preserve">) on an exception basis only, a no-cost extension beyond the initial duration of the project will be sought from in-country UNDP colleagues and then the UNDP-GEF Executive Coordinator. </w:t>
      </w:r>
    </w:p>
    <w:p w14:paraId="5B834463" w14:textId="77777777" w:rsidR="005808BA" w:rsidRPr="005808BA" w:rsidRDefault="005808BA" w:rsidP="005808BA">
      <w:pPr>
        <w:spacing w:after="240" w:line="240" w:lineRule="auto"/>
        <w:jc w:val="both"/>
        <w:rPr>
          <w:rFonts w:ascii="Calibri" w:eastAsia="SimSun" w:hAnsi="Calibri" w:cs="Times New Roman"/>
          <w:lang w:val="en-US"/>
        </w:rPr>
      </w:pPr>
      <w:r w:rsidRPr="005808BA">
        <w:rPr>
          <w:rFonts w:ascii="Calibri" w:eastAsia="SimSun" w:hAnsi="Calibri" w:cs="Times New Roman"/>
          <w:u w:val="single"/>
          <w:lang w:val="en-US"/>
        </w:rPr>
        <w:t>Operational completion</w:t>
      </w:r>
      <w:r w:rsidRPr="005808BA">
        <w:rPr>
          <w:rFonts w:ascii="Calibri" w:eastAsia="SimSun" w:hAnsi="Calibri" w:cs="Times New Roman"/>
          <w:lang w:val="en-US"/>
        </w:rPr>
        <w:t xml:space="preserve">: The project will be operationally completed when the last UNDP-financed inputs have been provided and the related activities have been completed including the final clearance of the Terminal Evaluation Report that must be available in English, and after the final project board meeting. The Implementing Partner through a Project Board decision, will notify the UNDP Country Office when the operational closure has been completed. The relevant parties will then agree on the disposal of any equipment that is still the property of UNDP. </w:t>
      </w:r>
    </w:p>
    <w:p w14:paraId="55E362D4" w14:textId="77777777" w:rsidR="005808BA" w:rsidRPr="005808BA" w:rsidRDefault="005808BA" w:rsidP="005808BA">
      <w:pPr>
        <w:spacing w:after="240" w:line="240" w:lineRule="auto"/>
        <w:jc w:val="both"/>
        <w:rPr>
          <w:rFonts w:ascii="Calibri" w:eastAsia="SimSun" w:hAnsi="Calibri" w:cs="Times New Roman"/>
          <w:lang w:val="en-US"/>
        </w:rPr>
      </w:pPr>
      <w:r w:rsidRPr="005808BA">
        <w:rPr>
          <w:rFonts w:ascii="Calibri" w:eastAsia="SimSun" w:hAnsi="Calibri" w:cs="Times New Roman"/>
          <w:u w:val="single"/>
          <w:lang w:val="en-US"/>
        </w:rPr>
        <w:t>Financial completion</w:t>
      </w:r>
      <w:r w:rsidRPr="005808BA">
        <w:rPr>
          <w:rFonts w:ascii="Calibri" w:eastAsia="SimSun" w:hAnsi="Calibri" w:cs="Times New Roman"/>
          <w:lang w:val="en-US"/>
        </w:rPr>
        <w:t xml:space="preserve">:  The project will be financially closed when the following conditions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14:paraId="0F534931" w14:textId="77777777" w:rsidR="005808BA" w:rsidRPr="005808BA" w:rsidRDefault="005808BA" w:rsidP="005808BA">
      <w:pPr>
        <w:spacing w:after="240" w:line="240" w:lineRule="auto"/>
        <w:jc w:val="both"/>
        <w:rPr>
          <w:rFonts w:ascii="Calibri" w:eastAsia="SimSun" w:hAnsi="Calibri" w:cs="Times New Roman"/>
          <w:lang w:val="en-US"/>
        </w:rPr>
      </w:pPr>
      <w:r w:rsidRPr="005808BA">
        <w:rPr>
          <w:rFonts w:ascii="Calibri" w:eastAsia="SimSun" w:hAnsi="Calibri" w:cs="Times New Roman"/>
          <w:lang w:val="en-US"/>
        </w:rPr>
        <w:t>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Country Office.</w:t>
      </w:r>
    </w:p>
    <w:p w14:paraId="092B9F0B" w14:textId="77777777" w:rsidR="005808BA" w:rsidRPr="005808BA" w:rsidRDefault="005808BA" w:rsidP="005808BA">
      <w:pPr>
        <w:spacing w:after="60" w:line="240" w:lineRule="auto"/>
        <w:jc w:val="both"/>
        <w:rPr>
          <w:rFonts w:ascii="Calibri" w:eastAsia="SimSun" w:hAnsi="Calibri" w:cs="Times New Roman"/>
          <w:lang w:val="en-US"/>
        </w:rPr>
      </w:pPr>
      <w:r w:rsidRPr="005808BA">
        <w:rPr>
          <w:rFonts w:ascii="Calibri" w:eastAsia="SimSun" w:hAnsi="Calibri" w:cs="Times New Roman"/>
          <w:u w:val="single"/>
          <w:lang w:val="en-US"/>
        </w:rPr>
        <w:t>Refund to Donor:</w:t>
      </w:r>
      <w:r w:rsidRPr="005808BA">
        <w:rPr>
          <w:rFonts w:ascii="Calibri" w:eastAsia="SimSun" w:hAnsi="Calibri" w:cs="Times New Roman"/>
          <w:lang w:val="en-US"/>
        </w:rPr>
        <w:t xml:space="preserve">  should a refund of unspent funds to the GEF be necessary, this will be managed directly by the UNDP-GEF Unit in New York. </w:t>
      </w:r>
    </w:p>
    <w:p w14:paraId="69810BFC" w14:textId="77777777" w:rsidR="005808BA" w:rsidRDefault="005808BA" w:rsidP="005808BA">
      <w:pPr>
        <w:spacing w:after="0" w:line="240" w:lineRule="auto"/>
        <w:rPr>
          <w:rFonts w:ascii="Calibri" w:eastAsia="SimSun" w:hAnsi="Calibri" w:cs="Times New Roman"/>
          <w:sz w:val="20"/>
          <w:szCs w:val="20"/>
          <w:u w:val="single"/>
          <w:lang w:val="en-US"/>
        </w:rPr>
      </w:pPr>
    </w:p>
    <w:p w14:paraId="0E8A562A" w14:textId="77777777" w:rsidR="00CA06B3" w:rsidRPr="00287098" w:rsidRDefault="00CA06B3" w:rsidP="005808BA">
      <w:pPr>
        <w:spacing w:after="0" w:line="240" w:lineRule="auto"/>
        <w:rPr>
          <w:rFonts w:ascii="Calibri" w:eastAsia="SimSun" w:hAnsi="Calibri" w:cs="Times New Roman"/>
          <w:szCs w:val="20"/>
          <w:u w:val="single"/>
          <w:lang w:val="en-US"/>
        </w:rPr>
      </w:pPr>
    </w:p>
    <w:p w14:paraId="0528AE08" w14:textId="77777777" w:rsidR="00CA06B3" w:rsidRPr="005808BA" w:rsidRDefault="00CA06B3" w:rsidP="005808BA">
      <w:pPr>
        <w:spacing w:after="0" w:line="240" w:lineRule="auto"/>
        <w:rPr>
          <w:rFonts w:ascii="Calibri" w:eastAsia="SimSun" w:hAnsi="Calibri" w:cs="Times New Roman"/>
          <w:sz w:val="20"/>
          <w:szCs w:val="20"/>
          <w:u w:val="single"/>
          <w:lang w:val="en-US"/>
        </w:rPr>
      </w:pPr>
    </w:p>
    <w:p w14:paraId="16B5BC15" w14:textId="77777777" w:rsidR="005808BA" w:rsidRPr="006451BA" w:rsidRDefault="005808BA" w:rsidP="00AA15F8">
      <w:pPr>
        <w:pStyle w:val="Heading1"/>
        <w:numPr>
          <w:ilvl w:val="0"/>
          <w:numId w:val="26"/>
        </w:numPr>
      </w:pPr>
      <w:bookmarkStart w:id="27" w:name="_Toc487589377"/>
      <w:bookmarkEnd w:id="24"/>
      <w:bookmarkEnd w:id="25"/>
      <w:bookmarkEnd w:id="26"/>
      <w:r w:rsidRPr="006451BA">
        <w:lastRenderedPageBreak/>
        <w:t>Legal Context</w:t>
      </w:r>
      <w:bookmarkEnd w:id="27"/>
    </w:p>
    <w:p w14:paraId="54FD3CEE" w14:textId="77777777" w:rsidR="005808BA" w:rsidRPr="006F5124" w:rsidRDefault="005808BA" w:rsidP="005808BA">
      <w:pPr>
        <w:spacing w:after="60" w:line="240" w:lineRule="auto"/>
        <w:jc w:val="both"/>
        <w:rPr>
          <w:rFonts w:eastAsia="SimSun" w:cstheme="minorHAnsi"/>
          <w:lang w:val="en-US"/>
        </w:rPr>
      </w:pPr>
      <w:r w:rsidRPr="006F5124">
        <w:rPr>
          <w:rFonts w:eastAsia="SimSun" w:cstheme="minorHAnsi"/>
          <w:lang w:val="en-US"/>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1217655C" w14:textId="77777777" w:rsidR="005808BA" w:rsidRPr="006F5124" w:rsidRDefault="005808BA" w:rsidP="005808BA">
      <w:pPr>
        <w:spacing w:after="0" w:line="271" w:lineRule="auto"/>
        <w:rPr>
          <w:rFonts w:eastAsia="SimSun" w:cstheme="minorHAnsi"/>
          <w:i/>
          <w:highlight w:val="yellow"/>
          <w:lang w:val="en-US"/>
        </w:rPr>
      </w:pPr>
      <w:bookmarkStart w:id="28" w:name="_GoBack"/>
      <w:bookmarkEnd w:id="28"/>
    </w:p>
    <w:p w14:paraId="2698274E" w14:textId="77777777" w:rsidR="005808BA" w:rsidRPr="006F5124" w:rsidRDefault="005808BA" w:rsidP="005808BA">
      <w:pPr>
        <w:numPr>
          <w:ilvl w:val="0"/>
          <w:numId w:val="9"/>
        </w:numPr>
        <w:spacing w:after="0" w:line="240" w:lineRule="auto"/>
        <w:ind w:left="360"/>
        <w:jc w:val="both"/>
        <w:rPr>
          <w:rFonts w:eastAsia="SimSun" w:cstheme="minorHAnsi"/>
          <w:lang w:val="en-US"/>
        </w:rPr>
      </w:pPr>
      <w:r w:rsidRPr="006F5124">
        <w:rPr>
          <w:rFonts w:eastAsia="SimSun" w:cstheme="minorHAnsi"/>
          <w:lang w:val="en-US"/>
        </w:rPr>
        <w:t xml:space="preserve">Consistent with the Article III of the SBAA </w:t>
      </w:r>
      <w:r w:rsidRPr="006F5124">
        <w:rPr>
          <w:rFonts w:eastAsia="SimSun" w:cstheme="minorHAnsi"/>
          <w:i/>
          <w:lang w:val="en-US"/>
        </w:rPr>
        <w:t>[or the Supplemental Provisions]</w:t>
      </w:r>
      <w:r w:rsidRPr="006F5124">
        <w:rPr>
          <w:rFonts w:eastAsia="SimSun" w:cstheme="minorHAnsi"/>
          <w:lang w:val="en-US"/>
        </w:rPr>
        <w:t>, the responsibility for the safety and security of the Implementing Partner and its personnel and property, and of UNDP’s property in the Implementing Partner’s custody, rests with the Implementing Partner.  To this end, the Implementing Partner shall:</w:t>
      </w:r>
    </w:p>
    <w:p w14:paraId="3628AD9C" w14:textId="77777777" w:rsidR="005808BA" w:rsidRPr="006F5124" w:rsidRDefault="005808BA" w:rsidP="005808BA">
      <w:pPr>
        <w:numPr>
          <w:ilvl w:val="0"/>
          <w:numId w:val="8"/>
        </w:numPr>
        <w:spacing w:after="60" w:line="240" w:lineRule="auto"/>
        <w:jc w:val="both"/>
        <w:rPr>
          <w:rFonts w:eastAsia="SimSun" w:cstheme="minorHAnsi"/>
          <w:lang w:val="en-US"/>
        </w:rPr>
      </w:pPr>
      <w:r w:rsidRPr="006F5124">
        <w:rPr>
          <w:rFonts w:eastAsia="SimSun" w:cstheme="minorHAnsi"/>
          <w:lang w:val="en-US"/>
        </w:rPr>
        <w:t>put in place an appropriate security plan and maintain the security plan, taking into account the security situation in the country where the project is being carried;</w:t>
      </w:r>
    </w:p>
    <w:p w14:paraId="5198FE15" w14:textId="77777777" w:rsidR="005808BA" w:rsidRPr="006F5124" w:rsidRDefault="005808BA" w:rsidP="005808BA">
      <w:pPr>
        <w:numPr>
          <w:ilvl w:val="0"/>
          <w:numId w:val="8"/>
        </w:numPr>
        <w:spacing w:after="60" w:line="240" w:lineRule="auto"/>
        <w:jc w:val="both"/>
        <w:rPr>
          <w:rFonts w:eastAsia="SimSun" w:cstheme="minorHAnsi"/>
          <w:lang w:val="en-US"/>
        </w:rPr>
      </w:pPr>
      <w:r w:rsidRPr="006F5124">
        <w:rPr>
          <w:rFonts w:eastAsia="SimSun" w:cstheme="minorHAnsi"/>
          <w:lang w:val="en-US"/>
        </w:rPr>
        <w:t>assume all risks and liabilities related to the Implementing Partner’s security, and the full implementation of the security plan.</w:t>
      </w:r>
    </w:p>
    <w:p w14:paraId="75583F3F" w14:textId="77777777" w:rsidR="005808BA" w:rsidRPr="00287098" w:rsidRDefault="005808BA" w:rsidP="005808BA">
      <w:pPr>
        <w:spacing w:after="60" w:line="240" w:lineRule="auto"/>
        <w:jc w:val="both"/>
        <w:rPr>
          <w:rFonts w:ascii="Calibri" w:eastAsia="SimSun" w:hAnsi="Calibri" w:cs="Arial"/>
          <w:lang w:val="en-US"/>
        </w:rPr>
      </w:pPr>
    </w:p>
    <w:p w14:paraId="557F4900" w14:textId="77777777" w:rsidR="005808BA" w:rsidRPr="006F5124" w:rsidRDefault="005808BA" w:rsidP="005808BA">
      <w:pPr>
        <w:spacing w:after="0" w:line="271" w:lineRule="auto"/>
        <w:rPr>
          <w:rFonts w:eastAsia="SimSun" w:cstheme="minorHAnsi"/>
          <w:lang w:val="en-US"/>
        </w:rPr>
      </w:pPr>
      <w:r w:rsidRPr="006F5124">
        <w:rPr>
          <w:rFonts w:eastAsia="SimSun" w:cstheme="minorHAnsi"/>
          <w:lang w:val="en-US"/>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6F5124">
        <w:rPr>
          <w:rFonts w:eastAsia="SimSun" w:cstheme="minorHAnsi"/>
          <w:vertAlign w:val="superscript"/>
          <w:lang w:val="en-US"/>
        </w:rPr>
        <w:footnoteReference w:id="10"/>
      </w:r>
      <w:r w:rsidRPr="006F5124">
        <w:rPr>
          <w:rFonts w:eastAsia="SimSun" w:cstheme="minorHAnsi"/>
          <w:lang w:val="en-US"/>
        </w:rPr>
        <w:t>.</w:t>
      </w:r>
    </w:p>
    <w:p w14:paraId="0F205B3F" w14:textId="77777777" w:rsidR="005808BA" w:rsidRPr="006F5124" w:rsidRDefault="005808BA" w:rsidP="005808BA">
      <w:pPr>
        <w:spacing w:after="0" w:line="271" w:lineRule="auto"/>
        <w:rPr>
          <w:rFonts w:eastAsia="SimSun" w:cstheme="minorHAnsi"/>
          <w:lang w:val="en-US"/>
        </w:rPr>
      </w:pPr>
    </w:p>
    <w:p w14:paraId="675935FC" w14:textId="77777777" w:rsidR="005808BA" w:rsidRPr="006F5124" w:rsidRDefault="005808BA" w:rsidP="005808BA">
      <w:pPr>
        <w:numPr>
          <w:ilvl w:val="0"/>
          <w:numId w:val="9"/>
        </w:numPr>
        <w:spacing w:after="120" w:line="240" w:lineRule="auto"/>
        <w:ind w:left="360"/>
        <w:jc w:val="both"/>
        <w:rPr>
          <w:rFonts w:eastAsia="SimSun" w:cstheme="minorHAnsi"/>
          <w:lang w:val="en-US"/>
        </w:rPr>
      </w:pPr>
      <w:r w:rsidRPr="006F5124">
        <w:rPr>
          <w:rFonts w:eastAsia="SimSun" w:cstheme="minorHAnsi"/>
          <w:lang w:val="en-US"/>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6F5124">
          <w:rPr>
            <w:rFonts w:eastAsia="SimSun" w:cstheme="minorHAnsi"/>
            <w:color w:val="0000FF"/>
            <w:u w:val="single"/>
            <w:lang w:val="en-US"/>
          </w:rPr>
          <w:t>http://www.un.org/sc/committees/1267/aq_sanctions_list.shtml</w:t>
        </w:r>
      </w:hyperlink>
      <w:r w:rsidRPr="006F5124">
        <w:rPr>
          <w:rFonts w:eastAsia="SimSun" w:cstheme="minorHAnsi"/>
          <w:color w:val="000080"/>
          <w:lang w:val="en-US"/>
        </w:rPr>
        <w:t xml:space="preserve">. </w:t>
      </w:r>
      <w:r w:rsidRPr="006F5124">
        <w:rPr>
          <w:rFonts w:eastAsia="SimSun" w:cstheme="minorHAnsi"/>
          <w:lang w:val="en-US"/>
        </w:rPr>
        <w:t xml:space="preserve">This provision must be included in all sub-contracts or sub-agreements entered into under/further to this Project Document.  </w:t>
      </w:r>
    </w:p>
    <w:p w14:paraId="6478E3EE" w14:textId="77777777" w:rsidR="005808BA" w:rsidRPr="006F5124" w:rsidRDefault="005808BA" w:rsidP="005808BA">
      <w:pPr>
        <w:numPr>
          <w:ilvl w:val="0"/>
          <w:numId w:val="9"/>
        </w:numPr>
        <w:spacing w:before="100" w:beforeAutospacing="1" w:after="240" w:line="240" w:lineRule="auto"/>
        <w:ind w:left="360"/>
        <w:jc w:val="both"/>
        <w:rPr>
          <w:rFonts w:eastAsia="SimSun" w:cstheme="minorHAnsi"/>
          <w:u w:val="single"/>
          <w:lang w:val="en-US"/>
        </w:rPr>
      </w:pPr>
      <w:r w:rsidRPr="006F5124">
        <w:rPr>
          <w:rFonts w:eastAsia="SimSun" w:cstheme="minorHAnsi"/>
          <w:lang w:val="en-US"/>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6F5124">
        <w:rPr>
          <w:rFonts w:eastAsia="SimSun" w:cstheme="minorHAnsi"/>
          <w:color w:val="000000"/>
          <w:lang w:val="en-US"/>
        </w:rPr>
        <w:t> </w:t>
      </w:r>
    </w:p>
    <w:p w14:paraId="0CCD0412" w14:textId="77777777" w:rsidR="005808BA" w:rsidRPr="006F5124" w:rsidRDefault="005808BA" w:rsidP="005808BA">
      <w:pPr>
        <w:numPr>
          <w:ilvl w:val="0"/>
          <w:numId w:val="9"/>
        </w:numPr>
        <w:autoSpaceDE w:val="0"/>
        <w:autoSpaceDN w:val="0"/>
        <w:adjustRightInd w:val="0"/>
        <w:spacing w:after="0" w:line="240" w:lineRule="auto"/>
        <w:ind w:left="360"/>
        <w:jc w:val="both"/>
        <w:rPr>
          <w:rFonts w:eastAsia="MS Mincho" w:cstheme="minorHAnsi"/>
          <w:color w:val="000000"/>
          <w:lang w:val="en-US" w:eastAsia="ja-JP"/>
        </w:rPr>
      </w:pPr>
      <w:r w:rsidRPr="006F5124">
        <w:rPr>
          <w:rFonts w:eastAsia="MS Mincho" w:cstheme="minorHAnsi"/>
          <w:color w:val="101010"/>
          <w:spacing w:val="-6"/>
          <w:kern w:val="1"/>
          <w:lang w:val="en-US" w:eastAsia="ja-JP"/>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6F5124">
        <w:rPr>
          <w:rFonts w:eastAsia="MS Mincho" w:cstheme="minorHAnsi"/>
          <w:color w:val="141414"/>
          <w:spacing w:val="-4"/>
          <w:lang w:val="en-GB" w:eastAsia="ja-JP"/>
        </w:rPr>
        <w:t>UNDP</w:t>
      </w:r>
      <w:r w:rsidRPr="006F5124">
        <w:rPr>
          <w:rFonts w:eastAsia="MS Mincho" w:cstheme="minorHAnsi"/>
          <w:color w:val="000000"/>
          <w:lang w:val="en-GB" w:eastAsia="ja-JP"/>
        </w:rPr>
        <w:t xml:space="preserve"> will seek to ensure that communities and other project stakeholders are informed of and have access to the Accountability Mechanism. </w:t>
      </w:r>
    </w:p>
    <w:p w14:paraId="3021DB84" w14:textId="77777777" w:rsidR="005808BA" w:rsidRPr="006F5124" w:rsidRDefault="005808BA" w:rsidP="005808BA">
      <w:pPr>
        <w:spacing w:after="0" w:line="271" w:lineRule="auto"/>
        <w:rPr>
          <w:rFonts w:eastAsia="SimSun" w:cstheme="minorHAnsi"/>
          <w:spacing w:val="-4"/>
          <w:lang w:val="en-US"/>
        </w:rPr>
      </w:pPr>
    </w:p>
    <w:p w14:paraId="1DEF1A8A" w14:textId="77777777" w:rsidR="005808BA" w:rsidRPr="006F5124" w:rsidRDefault="005808BA" w:rsidP="005808BA">
      <w:pPr>
        <w:spacing w:after="0" w:line="271" w:lineRule="auto"/>
        <w:rPr>
          <w:rFonts w:eastAsia="SimSun" w:cstheme="minorHAnsi"/>
          <w:i/>
          <w:highlight w:val="yellow"/>
          <w:lang w:val="en-US"/>
        </w:rPr>
      </w:pPr>
      <w:r w:rsidRPr="006F5124">
        <w:rPr>
          <w:rFonts w:eastAsia="SimSun" w:cstheme="minorHAnsi"/>
          <w:spacing w:val="-4"/>
          <w:lang w:val="en-US"/>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78D9F3D3" w14:textId="77777777" w:rsidR="005808BA" w:rsidRPr="005808BA" w:rsidRDefault="005808BA" w:rsidP="005808BA">
      <w:pPr>
        <w:spacing w:after="0" w:line="271" w:lineRule="auto"/>
        <w:rPr>
          <w:rFonts w:ascii="Calibri" w:eastAsia="SimSun" w:hAnsi="Calibri" w:cs="Times New Roman"/>
          <w:sz w:val="20"/>
          <w:szCs w:val="20"/>
          <w:highlight w:val="yellow"/>
          <w:lang w:val="en-US"/>
        </w:rPr>
      </w:pPr>
    </w:p>
    <w:p w14:paraId="5C6BE1BB" w14:textId="77777777" w:rsidR="005808BA" w:rsidRPr="005808BA" w:rsidRDefault="005808BA" w:rsidP="005808BA">
      <w:pPr>
        <w:spacing w:after="0" w:line="271" w:lineRule="auto"/>
        <w:rPr>
          <w:rFonts w:ascii="Calibri" w:eastAsia="SimSun" w:hAnsi="Calibri" w:cs="Times New Roman"/>
          <w:sz w:val="20"/>
          <w:szCs w:val="20"/>
          <w:lang w:val="en-US"/>
        </w:rPr>
      </w:pPr>
      <w:r w:rsidRPr="005808BA">
        <w:rPr>
          <w:rFonts w:ascii="Calibri" w:eastAsia="SimSun" w:hAnsi="Calibri" w:cs="Times New Roman"/>
          <w:sz w:val="20"/>
          <w:szCs w:val="20"/>
          <w:lang w:val="en-US"/>
        </w:rPr>
        <w:lastRenderedPageBreak/>
        <w:t> </w:t>
      </w:r>
    </w:p>
    <w:p w14:paraId="31BFBB58" w14:textId="77777777" w:rsidR="005808BA" w:rsidRPr="005808BA" w:rsidRDefault="005808BA" w:rsidP="005808BA">
      <w:pPr>
        <w:keepNext/>
        <w:pBdr>
          <w:top w:val="single" w:sz="4" w:space="1" w:color="auto"/>
        </w:pBdr>
        <w:tabs>
          <w:tab w:val="num" w:pos="720"/>
        </w:tabs>
        <w:suppressAutoHyphens/>
        <w:spacing w:before="104" w:after="226" w:line="240" w:lineRule="auto"/>
        <w:ind w:left="720" w:hanging="720"/>
        <w:jc w:val="both"/>
        <w:outlineLvl w:val="0"/>
        <w:rPr>
          <w:rFonts w:ascii="Calibri" w:eastAsia="SimSun" w:hAnsi="Calibri" w:cs="Times New Roman"/>
          <w:b/>
          <w:smallCaps/>
          <w:spacing w:val="-2"/>
          <w:sz w:val="20"/>
          <w:szCs w:val="20"/>
          <w:highlight w:val="yellow"/>
          <w:lang w:val="en-US"/>
        </w:rPr>
        <w:sectPr w:rsidR="005808BA" w:rsidRPr="005808BA" w:rsidSect="005808BA">
          <w:headerReference w:type="default" r:id="rId18"/>
          <w:footerReference w:type="default" r:id="rId19"/>
          <w:pgSz w:w="12240" w:h="15840" w:code="1"/>
          <w:pgMar w:top="1440" w:right="1440" w:bottom="1440" w:left="1440" w:header="720" w:footer="432" w:gutter="0"/>
          <w:cols w:space="708"/>
          <w:titlePg/>
          <w:docGrid w:linePitch="360"/>
        </w:sectPr>
      </w:pPr>
    </w:p>
    <w:p w14:paraId="71F795B9" w14:textId="0721E971" w:rsidR="005808BA" w:rsidRDefault="005808BA" w:rsidP="00AA15F8">
      <w:pPr>
        <w:pStyle w:val="Heading1"/>
        <w:numPr>
          <w:ilvl w:val="0"/>
          <w:numId w:val="26"/>
        </w:numPr>
        <w:rPr>
          <w:lang w:val="en-US"/>
        </w:rPr>
      </w:pPr>
      <w:bookmarkStart w:id="29" w:name="_Toc487589378"/>
      <w:r w:rsidRPr="005808BA">
        <w:rPr>
          <w:rFonts w:eastAsia="SimSun"/>
          <w:lang w:val="en-US"/>
        </w:rPr>
        <w:lastRenderedPageBreak/>
        <w:t>Total Budget and Work Plan</w:t>
      </w:r>
      <w:bookmarkEnd w:id="29"/>
      <w:r w:rsidR="00960D29">
        <w:rPr>
          <w:rFonts w:eastAsia="SimSun"/>
          <w:lang w:val="en-US"/>
        </w:rPr>
        <w:t xml:space="preserve"> </w:t>
      </w:r>
    </w:p>
    <w:tbl>
      <w:tblPr>
        <w:tblW w:w="14850" w:type="dxa"/>
        <w:tblInd w:w="-95" w:type="dxa"/>
        <w:tblLayout w:type="fixed"/>
        <w:tblLook w:val="04A0" w:firstRow="1" w:lastRow="0" w:firstColumn="1" w:lastColumn="0" w:noHBand="0" w:noVBand="1"/>
      </w:tblPr>
      <w:tblGrid>
        <w:gridCol w:w="1913"/>
        <w:gridCol w:w="984"/>
        <w:gridCol w:w="285"/>
        <w:gridCol w:w="525"/>
        <w:gridCol w:w="906"/>
        <w:gridCol w:w="990"/>
        <w:gridCol w:w="1324"/>
        <w:gridCol w:w="1713"/>
        <w:gridCol w:w="1260"/>
        <w:gridCol w:w="775"/>
        <w:gridCol w:w="305"/>
        <w:gridCol w:w="1170"/>
        <w:gridCol w:w="1170"/>
        <w:gridCol w:w="1530"/>
      </w:tblGrid>
      <w:tr w:rsidR="00D86992" w:rsidRPr="00591221" w14:paraId="4A0A7C04" w14:textId="77777777" w:rsidTr="00AA15F8">
        <w:trPr>
          <w:trHeight w:val="70"/>
        </w:trPr>
        <w:tc>
          <w:tcPr>
            <w:tcW w:w="31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37CE32" w14:textId="77777777" w:rsidR="00D86992" w:rsidRPr="00591221" w:rsidRDefault="00D8699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Atlas Proposal or Award ID:</w:t>
            </w:r>
          </w:p>
        </w:tc>
        <w:tc>
          <w:tcPr>
            <w:tcW w:w="3745" w:type="dxa"/>
            <w:gridSpan w:val="4"/>
            <w:tcBorders>
              <w:top w:val="single" w:sz="4" w:space="0" w:color="auto"/>
              <w:left w:val="nil"/>
              <w:bottom w:val="single" w:sz="4" w:space="0" w:color="auto"/>
              <w:right w:val="single" w:sz="4" w:space="0" w:color="000000"/>
            </w:tcBorders>
            <w:shd w:val="clear" w:color="auto" w:fill="auto"/>
            <w:noWrap/>
            <w:vAlign w:val="center"/>
          </w:tcPr>
          <w:p w14:paraId="71EE34E5" w14:textId="1F7BF12B" w:rsidR="00D86992" w:rsidRPr="00591221" w:rsidRDefault="006D3C9B" w:rsidP="005808BA">
            <w:pPr>
              <w:spacing w:after="0" w:line="240" w:lineRule="auto"/>
              <w:jc w:val="both"/>
              <w:rPr>
                <w:rFonts w:ascii="Calibri" w:eastAsia="SimSun" w:hAnsi="Calibri" w:cs="Arial"/>
                <w:bCs/>
                <w:color w:val="000000"/>
                <w:sz w:val="18"/>
                <w:szCs w:val="16"/>
                <w:lang w:val="en-US" w:eastAsia="zh-CN"/>
              </w:rPr>
            </w:pPr>
            <w:r w:rsidRPr="00F005AC">
              <w:rPr>
                <w:rFonts w:cs="Arial"/>
                <w:i/>
                <w:szCs w:val="20"/>
                <w:lang w:val="en-US"/>
              </w:rPr>
              <w:t>00099303</w:t>
            </w:r>
          </w:p>
        </w:tc>
        <w:tc>
          <w:tcPr>
            <w:tcW w:w="3748" w:type="dxa"/>
            <w:gridSpan w:val="3"/>
            <w:tcBorders>
              <w:top w:val="single" w:sz="4" w:space="0" w:color="auto"/>
              <w:left w:val="nil"/>
              <w:bottom w:val="single" w:sz="4" w:space="0" w:color="auto"/>
              <w:right w:val="single" w:sz="4" w:space="0" w:color="000000"/>
            </w:tcBorders>
            <w:shd w:val="clear" w:color="auto" w:fill="auto"/>
            <w:vAlign w:val="center"/>
          </w:tcPr>
          <w:p w14:paraId="5A702223" w14:textId="77777777" w:rsidR="00D86992" w:rsidRPr="00591221" w:rsidRDefault="00D8699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Atlas Primary Output Project ID:</w:t>
            </w:r>
          </w:p>
        </w:tc>
        <w:tc>
          <w:tcPr>
            <w:tcW w:w="1475" w:type="dxa"/>
            <w:gridSpan w:val="2"/>
            <w:tcBorders>
              <w:top w:val="single" w:sz="4" w:space="0" w:color="auto"/>
              <w:left w:val="nil"/>
              <w:bottom w:val="single" w:sz="4" w:space="0" w:color="auto"/>
              <w:right w:val="nil"/>
            </w:tcBorders>
          </w:tcPr>
          <w:p w14:paraId="05D9693F" w14:textId="77777777" w:rsidR="00D86992" w:rsidRPr="00591221" w:rsidRDefault="00D86992" w:rsidP="005808BA">
            <w:pPr>
              <w:spacing w:after="0" w:line="240" w:lineRule="auto"/>
              <w:jc w:val="both"/>
              <w:rPr>
                <w:rFonts w:cs="Arial"/>
                <w:i/>
                <w:szCs w:val="20"/>
                <w:lang w:val="en-US"/>
              </w:rPr>
            </w:pPr>
          </w:p>
        </w:tc>
        <w:tc>
          <w:tcPr>
            <w:tcW w:w="2700" w:type="dxa"/>
            <w:gridSpan w:val="2"/>
            <w:tcBorders>
              <w:top w:val="single" w:sz="4" w:space="0" w:color="auto"/>
              <w:left w:val="nil"/>
              <w:bottom w:val="single" w:sz="4" w:space="0" w:color="auto"/>
              <w:right w:val="single" w:sz="4" w:space="0" w:color="000000"/>
            </w:tcBorders>
            <w:shd w:val="clear" w:color="auto" w:fill="auto"/>
            <w:vAlign w:val="center"/>
          </w:tcPr>
          <w:p w14:paraId="1ADA76C1" w14:textId="70DFBBE9" w:rsidR="00D86992" w:rsidRPr="00591221" w:rsidRDefault="006D3C9B" w:rsidP="005808BA">
            <w:pPr>
              <w:spacing w:after="0" w:line="240" w:lineRule="auto"/>
              <w:jc w:val="both"/>
              <w:rPr>
                <w:rFonts w:ascii="Calibri" w:eastAsia="SimSun" w:hAnsi="Calibri" w:cs="Arial"/>
                <w:bCs/>
                <w:color w:val="000000"/>
                <w:sz w:val="18"/>
                <w:szCs w:val="16"/>
                <w:lang w:val="en-US" w:eastAsia="zh-CN"/>
              </w:rPr>
            </w:pPr>
            <w:r w:rsidRPr="00F005AC">
              <w:rPr>
                <w:rFonts w:cs="Arial"/>
                <w:i/>
                <w:szCs w:val="20"/>
                <w:lang w:val="en-US"/>
              </w:rPr>
              <w:t>00102618</w:t>
            </w:r>
          </w:p>
        </w:tc>
      </w:tr>
      <w:tr w:rsidR="002B7B22" w:rsidRPr="00591221" w14:paraId="4CB2134A" w14:textId="77777777" w:rsidTr="003D4DFD">
        <w:trPr>
          <w:trHeight w:val="77"/>
        </w:trPr>
        <w:tc>
          <w:tcPr>
            <w:tcW w:w="31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F447E3F" w14:textId="77777777" w:rsidR="002B7B22" w:rsidRPr="00591221" w:rsidRDefault="002B7B2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Atlas Proposal or Award Title:</w:t>
            </w:r>
          </w:p>
        </w:tc>
        <w:tc>
          <w:tcPr>
            <w:tcW w:w="11668" w:type="dxa"/>
            <w:gridSpan w:val="11"/>
            <w:tcBorders>
              <w:top w:val="single" w:sz="4" w:space="0" w:color="auto"/>
              <w:left w:val="nil"/>
              <w:bottom w:val="single" w:sz="4" w:space="0" w:color="auto"/>
              <w:right w:val="single" w:sz="4" w:space="0" w:color="000000"/>
            </w:tcBorders>
          </w:tcPr>
          <w:p w14:paraId="51ABF3BA" w14:textId="00A74D6A" w:rsidR="002B7B22" w:rsidRPr="00591221" w:rsidRDefault="002B7B22" w:rsidP="002D5C56">
            <w:pPr>
              <w:spacing w:after="0" w:line="240" w:lineRule="auto"/>
              <w:rPr>
                <w:rFonts w:ascii="Calibri" w:eastAsia="SimSun" w:hAnsi="Calibri" w:cs="Arial"/>
                <w:bCs/>
                <w:color w:val="000000"/>
                <w:sz w:val="20"/>
                <w:szCs w:val="20"/>
                <w:lang w:val="en-US" w:eastAsia="zh-CN"/>
              </w:rPr>
            </w:pPr>
            <w:r w:rsidRPr="00591221">
              <w:rPr>
                <w:rFonts w:ascii="Calibri" w:eastAsia="SimSun" w:hAnsi="Calibri" w:cs="Arial"/>
                <w:bCs/>
                <w:color w:val="000000"/>
                <w:sz w:val="20"/>
                <w:szCs w:val="20"/>
                <w:lang w:val="en-US" w:eastAsia="zh-CN"/>
              </w:rPr>
              <w:t>National Action Plan</w:t>
            </w:r>
          </w:p>
        </w:tc>
      </w:tr>
      <w:tr w:rsidR="002B7B22" w:rsidRPr="00591221" w14:paraId="67A338BF" w14:textId="77777777" w:rsidTr="003D4DFD">
        <w:trPr>
          <w:trHeight w:val="77"/>
        </w:trPr>
        <w:tc>
          <w:tcPr>
            <w:tcW w:w="31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9AED39" w14:textId="77777777" w:rsidR="002B7B22" w:rsidRPr="00591221" w:rsidRDefault="002B7B2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Atlas Business Unit</w:t>
            </w:r>
          </w:p>
        </w:tc>
        <w:tc>
          <w:tcPr>
            <w:tcW w:w="11668" w:type="dxa"/>
            <w:gridSpan w:val="11"/>
            <w:tcBorders>
              <w:top w:val="single" w:sz="4" w:space="0" w:color="auto"/>
              <w:left w:val="nil"/>
              <w:bottom w:val="single" w:sz="4" w:space="0" w:color="auto"/>
              <w:right w:val="single" w:sz="4" w:space="0" w:color="000000"/>
            </w:tcBorders>
          </w:tcPr>
          <w:p w14:paraId="608BA0C3" w14:textId="2A9425FE" w:rsidR="002B7B22" w:rsidRPr="00591221" w:rsidRDefault="002B7B22" w:rsidP="002D5C56">
            <w:pPr>
              <w:spacing w:after="0" w:line="240" w:lineRule="auto"/>
              <w:rPr>
                <w:rFonts w:ascii="Calibri" w:eastAsia="SimSun" w:hAnsi="Calibri" w:cs="Arial"/>
                <w:bCs/>
                <w:iCs/>
                <w:color w:val="000000"/>
                <w:sz w:val="18"/>
                <w:szCs w:val="16"/>
                <w:lang w:val="en-US" w:eastAsia="zh-CN"/>
              </w:rPr>
            </w:pPr>
            <w:r w:rsidRPr="00591221">
              <w:rPr>
                <w:rFonts w:ascii="Calibri" w:eastAsia="SimSun" w:hAnsi="Calibri" w:cs="Arial"/>
                <w:bCs/>
                <w:iCs/>
                <w:color w:val="000000"/>
                <w:sz w:val="18"/>
                <w:szCs w:val="16"/>
                <w:lang w:val="en-US" w:eastAsia="zh-CN"/>
              </w:rPr>
              <w:t>SUR10</w:t>
            </w:r>
          </w:p>
        </w:tc>
      </w:tr>
      <w:tr w:rsidR="002B7B22" w:rsidRPr="00EE3E21" w14:paraId="54848992" w14:textId="77777777" w:rsidTr="003D4DFD">
        <w:trPr>
          <w:trHeight w:val="77"/>
        </w:trPr>
        <w:tc>
          <w:tcPr>
            <w:tcW w:w="31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BC4E467" w14:textId="77777777" w:rsidR="002B7B22" w:rsidRPr="00591221" w:rsidRDefault="002B7B2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Atlas Primary Output Project Title</w:t>
            </w:r>
          </w:p>
        </w:tc>
        <w:tc>
          <w:tcPr>
            <w:tcW w:w="11668" w:type="dxa"/>
            <w:gridSpan w:val="11"/>
            <w:tcBorders>
              <w:top w:val="single" w:sz="4" w:space="0" w:color="auto"/>
              <w:left w:val="nil"/>
              <w:bottom w:val="single" w:sz="4" w:space="0" w:color="auto"/>
              <w:right w:val="single" w:sz="4" w:space="0" w:color="000000"/>
            </w:tcBorders>
          </w:tcPr>
          <w:p w14:paraId="4B7B4EA2" w14:textId="713248B2" w:rsidR="002B7B22" w:rsidRPr="00591221" w:rsidRDefault="002B7B22" w:rsidP="002D5C56">
            <w:pPr>
              <w:spacing w:after="0" w:line="240" w:lineRule="auto"/>
              <w:rPr>
                <w:rFonts w:ascii="Calibri" w:eastAsia="SimSun" w:hAnsi="Calibri" w:cs="Arial"/>
                <w:bCs/>
                <w:color w:val="000000"/>
                <w:sz w:val="18"/>
                <w:szCs w:val="18"/>
                <w:lang w:val="en-US" w:eastAsia="zh-CN"/>
              </w:rPr>
            </w:pPr>
            <w:r w:rsidRPr="00591221">
              <w:rPr>
                <w:rFonts w:ascii="Calibri" w:eastAsia="SimSun" w:hAnsi="Calibri" w:cs="Arial"/>
                <w:sz w:val="20"/>
                <w:szCs w:val="20"/>
                <w:lang w:val="en-US"/>
              </w:rPr>
              <w:t>ASGM National Action Plan for Suriname</w:t>
            </w:r>
          </w:p>
        </w:tc>
      </w:tr>
      <w:tr w:rsidR="002B7B22" w:rsidRPr="00591221" w14:paraId="587FC83A" w14:textId="77777777" w:rsidTr="003D4DFD">
        <w:trPr>
          <w:trHeight w:val="77"/>
        </w:trPr>
        <w:tc>
          <w:tcPr>
            <w:tcW w:w="31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B9E9561" w14:textId="77777777" w:rsidR="002B7B22" w:rsidRPr="00591221" w:rsidRDefault="002B7B2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 xml:space="preserve">UNDP-GEF PIMS No. </w:t>
            </w:r>
          </w:p>
        </w:tc>
        <w:tc>
          <w:tcPr>
            <w:tcW w:w="11668" w:type="dxa"/>
            <w:gridSpan w:val="11"/>
            <w:tcBorders>
              <w:top w:val="single" w:sz="4" w:space="0" w:color="auto"/>
              <w:left w:val="nil"/>
              <w:bottom w:val="single" w:sz="4" w:space="0" w:color="auto"/>
              <w:right w:val="single" w:sz="4" w:space="0" w:color="auto"/>
            </w:tcBorders>
          </w:tcPr>
          <w:p w14:paraId="0DD5A74C" w14:textId="5238C9D0" w:rsidR="002B7B22" w:rsidRPr="00591221" w:rsidRDefault="002B7B22" w:rsidP="002D5C56">
            <w:pPr>
              <w:spacing w:after="0" w:line="240" w:lineRule="auto"/>
              <w:rPr>
                <w:rFonts w:ascii="Calibri" w:eastAsia="SimSun" w:hAnsi="Calibri" w:cs="Arial"/>
                <w:bCs/>
                <w:color w:val="000000"/>
                <w:sz w:val="18"/>
                <w:szCs w:val="16"/>
                <w:lang w:val="en-US" w:eastAsia="zh-CN"/>
              </w:rPr>
            </w:pPr>
            <w:r>
              <w:rPr>
                <w:rFonts w:cs="Arial"/>
                <w:szCs w:val="20"/>
              </w:rPr>
              <w:t>5725</w:t>
            </w:r>
          </w:p>
        </w:tc>
      </w:tr>
      <w:tr w:rsidR="002B7B22" w:rsidRPr="00EE3E21" w14:paraId="6EE0E6A7" w14:textId="77777777" w:rsidTr="003D4DFD">
        <w:trPr>
          <w:trHeight w:val="77"/>
        </w:trPr>
        <w:tc>
          <w:tcPr>
            <w:tcW w:w="3182" w:type="dxa"/>
            <w:gridSpan w:val="3"/>
            <w:tcBorders>
              <w:top w:val="nil"/>
              <w:left w:val="single" w:sz="4" w:space="0" w:color="auto"/>
              <w:bottom w:val="single" w:sz="4" w:space="0" w:color="auto"/>
              <w:right w:val="single" w:sz="4" w:space="0" w:color="auto"/>
            </w:tcBorders>
            <w:shd w:val="clear" w:color="auto" w:fill="auto"/>
            <w:vAlign w:val="center"/>
            <w:hideMark/>
          </w:tcPr>
          <w:p w14:paraId="39314D0F" w14:textId="77777777" w:rsidR="002B7B22" w:rsidRPr="00591221" w:rsidRDefault="002B7B22" w:rsidP="005808BA">
            <w:pPr>
              <w:spacing w:after="0" w:line="240" w:lineRule="auto"/>
              <w:jc w:val="both"/>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 xml:space="preserve">Implementing Partner </w:t>
            </w:r>
          </w:p>
        </w:tc>
        <w:tc>
          <w:tcPr>
            <w:tcW w:w="11668" w:type="dxa"/>
            <w:gridSpan w:val="11"/>
            <w:tcBorders>
              <w:top w:val="single" w:sz="4" w:space="0" w:color="auto"/>
              <w:left w:val="nil"/>
              <w:bottom w:val="single" w:sz="4" w:space="0" w:color="auto"/>
              <w:right w:val="single" w:sz="4" w:space="0" w:color="000000"/>
            </w:tcBorders>
          </w:tcPr>
          <w:p w14:paraId="3366192F" w14:textId="05882C15" w:rsidR="002B7B22" w:rsidRPr="005808BA" w:rsidRDefault="002B7B22" w:rsidP="002D5C56">
            <w:pPr>
              <w:spacing w:after="0" w:line="240" w:lineRule="auto"/>
              <w:rPr>
                <w:rFonts w:ascii="Calibri" w:eastAsia="SimSun" w:hAnsi="Calibri" w:cs="Arial"/>
                <w:bCs/>
                <w:color w:val="000000"/>
                <w:sz w:val="18"/>
                <w:szCs w:val="16"/>
                <w:lang w:val="en-US" w:eastAsia="zh-CN"/>
              </w:rPr>
            </w:pPr>
            <w:r w:rsidRPr="00591221">
              <w:rPr>
                <w:rFonts w:ascii="Calibri" w:eastAsia="SimSun" w:hAnsi="Calibri" w:cs="Arial"/>
                <w:bCs/>
                <w:color w:val="000000"/>
                <w:sz w:val="18"/>
                <w:szCs w:val="16"/>
                <w:lang w:val="en-US" w:eastAsia="zh-CN"/>
              </w:rPr>
              <w:t>National Institute for Environment and Development (NIMOS)</w:t>
            </w:r>
          </w:p>
        </w:tc>
      </w:tr>
      <w:tr w:rsidR="00DB6CFB" w:rsidRPr="005808BA" w14:paraId="4B4884B0" w14:textId="77777777" w:rsidTr="00AA15F8">
        <w:tc>
          <w:tcPr>
            <w:tcW w:w="1913" w:type="dxa"/>
            <w:tcBorders>
              <w:top w:val="single" w:sz="4" w:space="0" w:color="auto"/>
              <w:left w:val="single" w:sz="4" w:space="0" w:color="auto"/>
              <w:bottom w:val="single" w:sz="4" w:space="0" w:color="auto"/>
              <w:right w:val="single" w:sz="4" w:space="0" w:color="auto"/>
            </w:tcBorders>
            <w:shd w:val="clear" w:color="auto" w:fill="FFFF99"/>
            <w:hideMark/>
          </w:tcPr>
          <w:p w14:paraId="44FD98EB" w14:textId="77777777" w:rsidR="00D86992" w:rsidRPr="005808BA" w:rsidRDefault="00D86992" w:rsidP="005808BA">
            <w:pPr>
              <w:spacing w:after="0" w:line="240" w:lineRule="auto"/>
              <w:jc w:val="both"/>
              <w:rPr>
                <w:rFonts w:ascii="Calibri" w:eastAsia="SimSun" w:hAnsi="Calibri" w:cs="Times New Roman"/>
                <w:b/>
                <w:bCs/>
                <w:sz w:val="18"/>
                <w:szCs w:val="18"/>
                <w:lang w:val="en-US" w:eastAsia="ru-RU"/>
              </w:rPr>
            </w:pPr>
            <w:r w:rsidRPr="005808BA">
              <w:rPr>
                <w:rFonts w:ascii="Calibri" w:eastAsia="SimSun" w:hAnsi="Calibri" w:cs="Times New Roman"/>
                <w:b/>
                <w:bCs/>
                <w:sz w:val="18"/>
                <w:szCs w:val="18"/>
                <w:lang w:val="en-US" w:eastAsia="ru-RU"/>
              </w:rPr>
              <w:t>GEF Component  /Atlas Activity</w:t>
            </w:r>
          </w:p>
        </w:tc>
        <w:tc>
          <w:tcPr>
            <w:tcW w:w="984" w:type="dxa"/>
            <w:tcBorders>
              <w:top w:val="single" w:sz="4" w:space="0" w:color="auto"/>
              <w:left w:val="nil"/>
              <w:bottom w:val="single" w:sz="4" w:space="0" w:color="auto"/>
              <w:right w:val="single" w:sz="4" w:space="0" w:color="auto"/>
            </w:tcBorders>
            <w:shd w:val="clear" w:color="auto" w:fill="FFFF99"/>
            <w:hideMark/>
          </w:tcPr>
          <w:p w14:paraId="4FE039C6" w14:textId="77777777" w:rsidR="00D86992" w:rsidRPr="005808BA" w:rsidRDefault="00D86992" w:rsidP="005808BA">
            <w:pPr>
              <w:spacing w:after="0" w:line="240" w:lineRule="auto"/>
              <w:jc w:val="both"/>
              <w:rPr>
                <w:rFonts w:ascii="Calibri" w:eastAsia="SimSun" w:hAnsi="Calibri" w:cs="Times New Roman"/>
                <w:b/>
                <w:bCs/>
                <w:sz w:val="18"/>
                <w:szCs w:val="18"/>
                <w:lang w:val="es-ES" w:eastAsia="ru-RU"/>
              </w:rPr>
            </w:pPr>
            <w:r w:rsidRPr="005808BA">
              <w:rPr>
                <w:rFonts w:ascii="Calibri" w:eastAsia="SimSun" w:hAnsi="Calibri" w:cs="Times New Roman"/>
                <w:b/>
                <w:bCs/>
                <w:sz w:val="18"/>
                <w:szCs w:val="18"/>
                <w:lang w:val="ru-RU" w:eastAsia="ru-RU"/>
              </w:rPr>
              <w:t xml:space="preserve">RespParty/ </w:t>
            </w:r>
            <w:r w:rsidRPr="005808BA">
              <w:rPr>
                <w:rFonts w:ascii="Calibri" w:eastAsia="SimSun" w:hAnsi="Calibri" w:cs="Times New Roman"/>
                <w:b/>
                <w:bCs/>
                <w:sz w:val="18"/>
                <w:szCs w:val="18"/>
                <w:lang w:val="es-ES" w:eastAsia="ru-RU"/>
              </w:rPr>
              <w:t>IA</w:t>
            </w:r>
          </w:p>
        </w:tc>
        <w:tc>
          <w:tcPr>
            <w:tcW w:w="810" w:type="dxa"/>
            <w:gridSpan w:val="2"/>
            <w:tcBorders>
              <w:top w:val="single" w:sz="4" w:space="0" w:color="auto"/>
              <w:left w:val="nil"/>
              <w:bottom w:val="single" w:sz="4" w:space="0" w:color="auto"/>
              <w:right w:val="single" w:sz="4" w:space="0" w:color="auto"/>
            </w:tcBorders>
            <w:shd w:val="clear" w:color="auto" w:fill="FFFF99"/>
            <w:hideMark/>
          </w:tcPr>
          <w:p w14:paraId="681548EE" w14:textId="77777777" w:rsidR="00D86992" w:rsidRPr="005808BA" w:rsidRDefault="00D86992" w:rsidP="005808BA">
            <w:pPr>
              <w:spacing w:after="0" w:line="240" w:lineRule="auto"/>
              <w:jc w:val="both"/>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Fund ID</w:t>
            </w:r>
          </w:p>
        </w:tc>
        <w:tc>
          <w:tcPr>
            <w:tcW w:w="906" w:type="dxa"/>
            <w:tcBorders>
              <w:top w:val="single" w:sz="4" w:space="0" w:color="auto"/>
              <w:left w:val="nil"/>
              <w:bottom w:val="single" w:sz="4" w:space="0" w:color="auto"/>
              <w:right w:val="single" w:sz="4" w:space="0" w:color="auto"/>
            </w:tcBorders>
            <w:shd w:val="clear" w:color="auto" w:fill="FFFF99"/>
            <w:hideMark/>
          </w:tcPr>
          <w:p w14:paraId="139BB0CC" w14:textId="77777777"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Donor Name</w:t>
            </w:r>
          </w:p>
        </w:tc>
        <w:tc>
          <w:tcPr>
            <w:tcW w:w="990" w:type="dxa"/>
            <w:tcBorders>
              <w:top w:val="single" w:sz="4" w:space="0" w:color="auto"/>
              <w:left w:val="nil"/>
              <w:bottom w:val="single" w:sz="4" w:space="0" w:color="auto"/>
              <w:right w:val="single" w:sz="4" w:space="0" w:color="auto"/>
            </w:tcBorders>
            <w:shd w:val="clear" w:color="auto" w:fill="FFFF99"/>
            <w:hideMark/>
          </w:tcPr>
          <w:p w14:paraId="56DA4FE2" w14:textId="77777777"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ATLAS Code</w:t>
            </w:r>
          </w:p>
        </w:tc>
        <w:tc>
          <w:tcPr>
            <w:tcW w:w="3037" w:type="dxa"/>
            <w:gridSpan w:val="2"/>
            <w:tcBorders>
              <w:top w:val="single" w:sz="4" w:space="0" w:color="auto"/>
              <w:left w:val="nil"/>
              <w:bottom w:val="single" w:sz="4" w:space="0" w:color="auto"/>
              <w:right w:val="single" w:sz="4" w:space="0" w:color="auto"/>
            </w:tcBorders>
            <w:shd w:val="clear" w:color="auto" w:fill="FFFF99"/>
            <w:hideMark/>
          </w:tcPr>
          <w:p w14:paraId="10377FC6" w14:textId="77777777"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Altlas Budget Description</w:t>
            </w:r>
          </w:p>
        </w:tc>
        <w:tc>
          <w:tcPr>
            <w:tcW w:w="1260" w:type="dxa"/>
            <w:tcBorders>
              <w:top w:val="single" w:sz="4" w:space="0" w:color="auto"/>
              <w:left w:val="nil"/>
              <w:bottom w:val="single" w:sz="4" w:space="0" w:color="auto"/>
              <w:right w:val="single" w:sz="4" w:space="0" w:color="auto"/>
            </w:tcBorders>
            <w:shd w:val="clear" w:color="auto" w:fill="FFFF99"/>
            <w:hideMark/>
          </w:tcPr>
          <w:p w14:paraId="3C2D8D45" w14:textId="77777777"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TOTAL Amount (USD)</w:t>
            </w:r>
          </w:p>
        </w:tc>
        <w:tc>
          <w:tcPr>
            <w:tcW w:w="1080" w:type="dxa"/>
            <w:gridSpan w:val="2"/>
            <w:tcBorders>
              <w:top w:val="single" w:sz="4" w:space="0" w:color="auto"/>
              <w:left w:val="nil"/>
              <w:bottom w:val="single" w:sz="4" w:space="0" w:color="auto"/>
              <w:right w:val="single" w:sz="4" w:space="0" w:color="auto"/>
            </w:tcBorders>
            <w:shd w:val="clear" w:color="auto" w:fill="FFFF99"/>
            <w:hideMark/>
          </w:tcPr>
          <w:p w14:paraId="3A916EB4" w14:textId="20A68082" w:rsidR="00D86992" w:rsidRPr="006F5124" w:rsidRDefault="00D86992" w:rsidP="005808BA">
            <w:pPr>
              <w:spacing w:after="0" w:line="240" w:lineRule="auto"/>
              <w:jc w:val="center"/>
              <w:rPr>
                <w:rFonts w:ascii="Calibri" w:eastAsia="SimSun" w:hAnsi="Calibri" w:cs="Times New Roman"/>
                <w:b/>
                <w:bCs/>
                <w:sz w:val="18"/>
                <w:szCs w:val="18"/>
                <w:lang w:eastAsia="ru-RU"/>
              </w:rPr>
            </w:pPr>
            <w:r>
              <w:rPr>
                <w:rFonts w:ascii="Calibri" w:eastAsia="SimSun" w:hAnsi="Calibri" w:cs="Times New Roman"/>
                <w:b/>
                <w:bCs/>
                <w:sz w:val="18"/>
                <w:szCs w:val="18"/>
                <w:lang w:val="ru-RU" w:eastAsia="ru-RU"/>
              </w:rPr>
              <w:t>Amount 201</w:t>
            </w:r>
            <w:r>
              <w:rPr>
                <w:rFonts w:ascii="Calibri" w:eastAsia="SimSun" w:hAnsi="Calibri" w:cs="Times New Roman"/>
                <w:b/>
                <w:bCs/>
                <w:sz w:val="18"/>
                <w:szCs w:val="18"/>
                <w:lang w:eastAsia="ru-RU"/>
              </w:rPr>
              <w:t>7</w:t>
            </w:r>
          </w:p>
          <w:p w14:paraId="7850B2AC" w14:textId="77777777"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 xml:space="preserve"> (USD)</w:t>
            </w:r>
          </w:p>
        </w:tc>
        <w:tc>
          <w:tcPr>
            <w:tcW w:w="1170" w:type="dxa"/>
            <w:tcBorders>
              <w:top w:val="single" w:sz="4" w:space="0" w:color="auto"/>
              <w:left w:val="nil"/>
              <w:bottom w:val="single" w:sz="4" w:space="0" w:color="auto"/>
              <w:right w:val="single" w:sz="4" w:space="0" w:color="auto"/>
            </w:tcBorders>
            <w:shd w:val="clear" w:color="auto" w:fill="FFFF99"/>
            <w:hideMark/>
          </w:tcPr>
          <w:p w14:paraId="4AE37508" w14:textId="1EC5FF04"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 xml:space="preserve">Amount </w:t>
            </w:r>
            <w:r>
              <w:rPr>
                <w:rFonts w:ascii="Calibri" w:eastAsia="SimSun" w:hAnsi="Calibri" w:cs="Times New Roman"/>
                <w:b/>
                <w:bCs/>
                <w:sz w:val="18"/>
                <w:szCs w:val="18"/>
                <w:lang w:val="en-US" w:eastAsia="ru-RU"/>
              </w:rPr>
              <w:t>2018</w:t>
            </w:r>
          </w:p>
          <w:p w14:paraId="130D9A30" w14:textId="77777777" w:rsidR="00D86992" w:rsidRPr="005808BA" w:rsidRDefault="00D86992" w:rsidP="005808BA">
            <w:pPr>
              <w:spacing w:after="0" w:line="240" w:lineRule="auto"/>
              <w:jc w:val="center"/>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 xml:space="preserve"> (USD)</w:t>
            </w:r>
          </w:p>
        </w:tc>
        <w:tc>
          <w:tcPr>
            <w:tcW w:w="1170" w:type="dxa"/>
            <w:tcBorders>
              <w:top w:val="single" w:sz="4" w:space="0" w:color="auto"/>
              <w:left w:val="nil"/>
              <w:bottom w:val="single" w:sz="4" w:space="0" w:color="auto"/>
              <w:right w:val="single" w:sz="4" w:space="0" w:color="auto"/>
            </w:tcBorders>
            <w:shd w:val="clear" w:color="auto" w:fill="FFFF99"/>
          </w:tcPr>
          <w:p w14:paraId="37E91016" w14:textId="7E47C543" w:rsidR="00D86992" w:rsidRPr="00D86992" w:rsidRDefault="00D86992" w:rsidP="00D86992">
            <w:pPr>
              <w:spacing w:after="0" w:line="240" w:lineRule="auto"/>
              <w:jc w:val="center"/>
              <w:rPr>
                <w:rFonts w:ascii="Calibri" w:eastAsia="SimSun" w:hAnsi="Calibri" w:cs="Times New Roman"/>
                <w:b/>
                <w:bCs/>
                <w:sz w:val="18"/>
                <w:szCs w:val="18"/>
                <w:lang w:val="en-US" w:eastAsia="ru-RU"/>
              </w:rPr>
            </w:pPr>
            <w:r w:rsidRPr="00D86992">
              <w:rPr>
                <w:rFonts w:ascii="Calibri" w:eastAsia="SimSun" w:hAnsi="Calibri" w:cs="Times New Roman"/>
                <w:b/>
                <w:bCs/>
                <w:sz w:val="18"/>
                <w:szCs w:val="18"/>
                <w:lang w:val="en-US" w:eastAsia="ru-RU"/>
              </w:rPr>
              <w:t>Amount 201</w:t>
            </w:r>
            <w:r>
              <w:rPr>
                <w:rFonts w:ascii="Calibri" w:eastAsia="SimSun" w:hAnsi="Calibri" w:cs="Times New Roman"/>
                <w:b/>
                <w:bCs/>
                <w:sz w:val="18"/>
                <w:szCs w:val="18"/>
                <w:lang w:val="en-US" w:eastAsia="ru-RU"/>
              </w:rPr>
              <w:t>9</w:t>
            </w:r>
          </w:p>
          <w:p w14:paraId="74D21757" w14:textId="031AF7B5" w:rsidR="00D86992" w:rsidRPr="005808BA" w:rsidRDefault="00D86992" w:rsidP="00D86992">
            <w:pPr>
              <w:spacing w:after="0" w:line="240" w:lineRule="auto"/>
              <w:jc w:val="center"/>
              <w:rPr>
                <w:rFonts w:ascii="Calibri" w:eastAsia="SimSun" w:hAnsi="Calibri" w:cs="Times New Roman"/>
                <w:b/>
                <w:bCs/>
                <w:sz w:val="18"/>
                <w:szCs w:val="18"/>
                <w:lang w:val="en-US" w:eastAsia="ru-RU"/>
              </w:rPr>
            </w:pPr>
            <w:r w:rsidRPr="00D86992">
              <w:rPr>
                <w:rFonts w:ascii="Calibri" w:eastAsia="SimSun" w:hAnsi="Calibri" w:cs="Times New Roman"/>
                <w:b/>
                <w:bCs/>
                <w:sz w:val="18"/>
                <w:szCs w:val="18"/>
                <w:lang w:val="en-US" w:eastAsia="ru-RU"/>
              </w:rPr>
              <w:t xml:space="preserve"> (USD)</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14:paraId="0BE0D498" w14:textId="00270AB3" w:rsidR="00D86992" w:rsidRPr="005808BA" w:rsidRDefault="00D86992" w:rsidP="005808BA">
            <w:pPr>
              <w:spacing w:after="0" w:line="240" w:lineRule="auto"/>
              <w:jc w:val="center"/>
              <w:rPr>
                <w:rFonts w:ascii="Calibri" w:eastAsia="SimSun" w:hAnsi="Calibri" w:cs="Times New Roman"/>
                <w:b/>
                <w:bCs/>
                <w:sz w:val="18"/>
                <w:szCs w:val="18"/>
                <w:lang w:val="en-US" w:eastAsia="ru-RU"/>
              </w:rPr>
            </w:pPr>
            <w:r w:rsidRPr="005808BA">
              <w:rPr>
                <w:rFonts w:ascii="Calibri" w:eastAsia="SimSun" w:hAnsi="Calibri" w:cs="Times New Roman"/>
                <w:b/>
                <w:bCs/>
                <w:sz w:val="18"/>
                <w:szCs w:val="18"/>
                <w:lang w:val="en-US" w:eastAsia="ru-RU"/>
              </w:rPr>
              <w:t>Budget note</w:t>
            </w:r>
          </w:p>
        </w:tc>
      </w:tr>
      <w:tr w:rsidR="00CA49D0" w:rsidRPr="005808BA" w14:paraId="4372A275" w14:textId="77777777" w:rsidTr="00AA15F8">
        <w:tc>
          <w:tcPr>
            <w:tcW w:w="1913" w:type="dxa"/>
            <w:vMerge w:val="restart"/>
            <w:tcBorders>
              <w:top w:val="nil"/>
              <w:left w:val="single" w:sz="4" w:space="0" w:color="auto"/>
              <w:right w:val="single" w:sz="4" w:space="0" w:color="auto"/>
            </w:tcBorders>
            <w:noWrap/>
            <w:vAlign w:val="center"/>
            <w:hideMark/>
          </w:tcPr>
          <w:p w14:paraId="381739FE" w14:textId="18B4D693"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Component 1</w:t>
            </w:r>
            <w:r w:rsidRPr="00364C06">
              <w:rPr>
                <w:lang w:val="en-US"/>
              </w:rPr>
              <w:t xml:space="preserve"> </w:t>
            </w:r>
            <w:r w:rsidRPr="00675D91">
              <w:rPr>
                <w:rFonts w:ascii="Calibri" w:eastAsia="SimSun" w:hAnsi="Calibri" w:cs="Times New Roman"/>
                <w:sz w:val="18"/>
                <w:szCs w:val="18"/>
                <w:lang w:val="ru-RU" w:eastAsia="ru-RU"/>
              </w:rPr>
              <w:t>Develop Mercury Profile in artisanal and small-scale gold mining (ASGM)</w:t>
            </w:r>
          </w:p>
        </w:tc>
        <w:tc>
          <w:tcPr>
            <w:tcW w:w="984" w:type="dxa"/>
            <w:vMerge w:val="restart"/>
            <w:tcBorders>
              <w:top w:val="nil"/>
              <w:left w:val="nil"/>
              <w:right w:val="single" w:sz="4" w:space="0" w:color="auto"/>
            </w:tcBorders>
            <w:vAlign w:val="center"/>
            <w:hideMark/>
          </w:tcPr>
          <w:p w14:paraId="6E1887E2" w14:textId="77777777" w:rsidR="00CA49D0" w:rsidRPr="005808BA" w:rsidRDefault="00CA49D0" w:rsidP="00CA49D0">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NIMOS</w:t>
            </w:r>
          </w:p>
        </w:tc>
        <w:tc>
          <w:tcPr>
            <w:tcW w:w="810" w:type="dxa"/>
            <w:gridSpan w:val="2"/>
            <w:vMerge w:val="restart"/>
            <w:tcBorders>
              <w:top w:val="nil"/>
              <w:left w:val="nil"/>
              <w:right w:val="single" w:sz="4" w:space="0" w:color="auto"/>
            </w:tcBorders>
            <w:vAlign w:val="center"/>
            <w:hideMark/>
          </w:tcPr>
          <w:p w14:paraId="3E21D54C"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62000</w:t>
            </w:r>
          </w:p>
        </w:tc>
        <w:tc>
          <w:tcPr>
            <w:tcW w:w="906" w:type="dxa"/>
            <w:vMerge w:val="restart"/>
            <w:tcBorders>
              <w:top w:val="nil"/>
              <w:left w:val="nil"/>
              <w:right w:val="single" w:sz="4" w:space="0" w:color="auto"/>
            </w:tcBorders>
            <w:noWrap/>
            <w:vAlign w:val="center"/>
            <w:hideMark/>
          </w:tcPr>
          <w:p w14:paraId="3300A98A"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GEF</w:t>
            </w:r>
          </w:p>
        </w:tc>
        <w:tc>
          <w:tcPr>
            <w:tcW w:w="990" w:type="dxa"/>
            <w:tcBorders>
              <w:top w:val="nil"/>
              <w:left w:val="nil"/>
              <w:bottom w:val="single" w:sz="4" w:space="0" w:color="auto"/>
              <w:right w:val="single" w:sz="4" w:space="0" w:color="auto"/>
            </w:tcBorders>
            <w:noWrap/>
            <w:hideMark/>
          </w:tcPr>
          <w:p w14:paraId="3B74E04F"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71200</w:t>
            </w:r>
          </w:p>
        </w:tc>
        <w:tc>
          <w:tcPr>
            <w:tcW w:w="3037" w:type="dxa"/>
            <w:gridSpan w:val="2"/>
            <w:tcBorders>
              <w:top w:val="single" w:sz="4" w:space="0" w:color="auto"/>
              <w:left w:val="nil"/>
              <w:bottom w:val="single" w:sz="4" w:space="0" w:color="auto"/>
              <w:right w:val="single" w:sz="4" w:space="0" w:color="auto"/>
            </w:tcBorders>
            <w:shd w:val="clear" w:color="auto" w:fill="FFFFFF"/>
            <w:noWrap/>
            <w:hideMark/>
          </w:tcPr>
          <w:p w14:paraId="0DCE13FD"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International Consultants</w:t>
            </w:r>
          </w:p>
        </w:tc>
        <w:tc>
          <w:tcPr>
            <w:tcW w:w="1260" w:type="dxa"/>
            <w:tcBorders>
              <w:top w:val="single" w:sz="4" w:space="0" w:color="auto"/>
              <w:left w:val="nil"/>
              <w:bottom w:val="single" w:sz="4" w:space="0" w:color="auto"/>
              <w:right w:val="single" w:sz="4" w:space="0" w:color="auto"/>
            </w:tcBorders>
            <w:shd w:val="clear" w:color="auto" w:fill="FFFFCC"/>
            <w:noWrap/>
            <w:hideMark/>
          </w:tcPr>
          <w:p w14:paraId="35E189DB" w14:textId="65AFD8EA"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35</w:t>
            </w:r>
            <w:r w:rsidRPr="005808BA">
              <w:rPr>
                <w:rFonts w:ascii="Calibri" w:eastAsia="SimSun" w:hAnsi="Calibri" w:cs="Times New Roman"/>
                <w:sz w:val="18"/>
                <w:szCs w:val="18"/>
                <w:lang w:val="en-US" w:eastAsia="ru-RU"/>
              </w:rPr>
              <w:t>,000</w:t>
            </w:r>
          </w:p>
        </w:tc>
        <w:tc>
          <w:tcPr>
            <w:tcW w:w="1080" w:type="dxa"/>
            <w:gridSpan w:val="2"/>
            <w:tcBorders>
              <w:top w:val="single" w:sz="8" w:space="0" w:color="auto"/>
              <w:left w:val="nil"/>
              <w:bottom w:val="single" w:sz="8" w:space="0" w:color="auto"/>
              <w:right w:val="single" w:sz="8" w:space="0" w:color="auto"/>
            </w:tcBorders>
            <w:shd w:val="clear" w:color="000000" w:fill="FFFFFF"/>
            <w:noWrap/>
            <w:vAlign w:val="center"/>
          </w:tcPr>
          <w:p w14:paraId="28727233" w14:textId="5307A8B2"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6,000</w:t>
            </w:r>
          </w:p>
        </w:tc>
        <w:tc>
          <w:tcPr>
            <w:tcW w:w="1170" w:type="dxa"/>
            <w:tcBorders>
              <w:top w:val="single" w:sz="8" w:space="0" w:color="auto"/>
              <w:left w:val="nil"/>
              <w:bottom w:val="single" w:sz="8" w:space="0" w:color="auto"/>
              <w:right w:val="single" w:sz="8" w:space="0" w:color="auto"/>
            </w:tcBorders>
            <w:shd w:val="clear" w:color="000000" w:fill="FFFFFF"/>
            <w:noWrap/>
            <w:vAlign w:val="center"/>
          </w:tcPr>
          <w:p w14:paraId="4993C79F" w14:textId="7728A62F"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26,000</w:t>
            </w:r>
          </w:p>
        </w:tc>
        <w:tc>
          <w:tcPr>
            <w:tcW w:w="1170" w:type="dxa"/>
            <w:tcBorders>
              <w:top w:val="single" w:sz="8" w:space="0" w:color="auto"/>
              <w:left w:val="nil"/>
              <w:bottom w:val="single" w:sz="8" w:space="0" w:color="auto"/>
              <w:right w:val="single" w:sz="8" w:space="0" w:color="auto"/>
            </w:tcBorders>
            <w:shd w:val="clear" w:color="000000" w:fill="FFFFFF"/>
            <w:vAlign w:val="center"/>
          </w:tcPr>
          <w:p w14:paraId="4EFFECA8" w14:textId="021D97B5"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3,000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55E0856" w14:textId="3AD66C27"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A</w:t>
            </w:r>
          </w:p>
        </w:tc>
      </w:tr>
      <w:tr w:rsidR="00CA49D0" w:rsidRPr="005808BA" w14:paraId="14CBB9A4" w14:textId="77777777" w:rsidTr="00AA15F8">
        <w:tc>
          <w:tcPr>
            <w:tcW w:w="1913" w:type="dxa"/>
            <w:vMerge/>
            <w:tcBorders>
              <w:left w:val="single" w:sz="4" w:space="0" w:color="auto"/>
              <w:right w:val="single" w:sz="4" w:space="0" w:color="auto"/>
            </w:tcBorders>
            <w:noWrap/>
            <w:vAlign w:val="center"/>
            <w:hideMark/>
          </w:tcPr>
          <w:p w14:paraId="1FCF4CD4"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984" w:type="dxa"/>
            <w:vMerge/>
            <w:tcBorders>
              <w:left w:val="nil"/>
              <w:right w:val="single" w:sz="4" w:space="0" w:color="auto"/>
            </w:tcBorders>
            <w:hideMark/>
          </w:tcPr>
          <w:p w14:paraId="6EC33130"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hideMark/>
          </w:tcPr>
          <w:p w14:paraId="5142E5EA"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hideMark/>
          </w:tcPr>
          <w:p w14:paraId="0E7B1601"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nil"/>
              <w:left w:val="nil"/>
              <w:bottom w:val="single" w:sz="4" w:space="0" w:color="auto"/>
              <w:right w:val="single" w:sz="4" w:space="0" w:color="auto"/>
            </w:tcBorders>
            <w:noWrap/>
            <w:hideMark/>
          </w:tcPr>
          <w:p w14:paraId="2307EF98"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w:t>
            </w:r>
            <w:r w:rsidRPr="005808BA">
              <w:rPr>
                <w:rFonts w:ascii="Calibri" w:eastAsia="SimSun" w:hAnsi="Calibri" w:cs="Times New Roman"/>
                <w:sz w:val="18"/>
                <w:szCs w:val="18"/>
                <w:lang w:val="en-US" w:eastAsia="ru-RU"/>
              </w:rPr>
              <w:t>13</w:t>
            </w:r>
            <w:r w:rsidRPr="005808BA">
              <w:rPr>
                <w:rFonts w:ascii="Calibri" w:eastAsia="SimSun" w:hAnsi="Calibri" w:cs="Times New Roman"/>
                <w:sz w:val="18"/>
                <w:szCs w:val="18"/>
                <w:lang w:val="ru-RU" w:eastAsia="ru-RU"/>
              </w:rPr>
              <w:t>00</w:t>
            </w:r>
          </w:p>
        </w:tc>
        <w:tc>
          <w:tcPr>
            <w:tcW w:w="3037" w:type="dxa"/>
            <w:gridSpan w:val="2"/>
            <w:tcBorders>
              <w:top w:val="single" w:sz="4" w:space="0" w:color="auto"/>
              <w:left w:val="nil"/>
              <w:bottom w:val="single" w:sz="4" w:space="0" w:color="auto"/>
              <w:right w:val="single" w:sz="4" w:space="0" w:color="auto"/>
            </w:tcBorders>
            <w:shd w:val="clear" w:color="auto" w:fill="FFFFFF"/>
            <w:noWrap/>
            <w:hideMark/>
          </w:tcPr>
          <w:p w14:paraId="027F5BC9"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Local Consultants</w:t>
            </w:r>
          </w:p>
        </w:tc>
        <w:tc>
          <w:tcPr>
            <w:tcW w:w="1260" w:type="dxa"/>
            <w:tcBorders>
              <w:top w:val="single" w:sz="4" w:space="0" w:color="auto"/>
              <w:left w:val="nil"/>
              <w:bottom w:val="single" w:sz="4" w:space="0" w:color="auto"/>
              <w:right w:val="single" w:sz="4" w:space="0" w:color="auto"/>
            </w:tcBorders>
            <w:shd w:val="clear" w:color="auto" w:fill="FFFFCC"/>
            <w:noWrap/>
            <w:hideMark/>
          </w:tcPr>
          <w:p w14:paraId="6AF0DF05" w14:textId="6D7C62CA"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55</w:t>
            </w:r>
            <w:r w:rsidRPr="005808BA">
              <w:rPr>
                <w:rFonts w:ascii="Calibri" w:eastAsia="SimSun" w:hAnsi="Calibri" w:cs="Times New Roman"/>
                <w:sz w:val="18"/>
                <w:szCs w:val="18"/>
                <w:lang w:val="en-US" w:eastAsia="ru-RU"/>
              </w:rPr>
              <w:t>,000</w:t>
            </w:r>
          </w:p>
        </w:tc>
        <w:tc>
          <w:tcPr>
            <w:tcW w:w="1080" w:type="dxa"/>
            <w:gridSpan w:val="2"/>
            <w:tcBorders>
              <w:top w:val="nil"/>
              <w:left w:val="nil"/>
              <w:bottom w:val="single" w:sz="8" w:space="0" w:color="auto"/>
              <w:right w:val="single" w:sz="8" w:space="0" w:color="auto"/>
            </w:tcBorders>
            <w:shd w:val="clear" w:color="000000" w:fill="FFFFFF"/>
            <w:noWrap/>
            <w:vAlign w:val="center"/>
          </w:tcPr>
          <w:p w14:paraId="35A8BB14" w14:textId="084AEF65"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10,000</w:t>
            </w:r>
          </w:p>
        </w:tc>
        <w:tc>
          <w:tcPr>
            <w:tcW w:w="1170" w:type="dxa"/>
            <w:tcBorders>
              <w:top w:val="nil"/>
              <w:left w:val="nil"/>
              <w:bottom w:val="single" w:sz="8" w:space="0" w:color="auto"/>
              <w:right w:val="single" w:sz="8" w:space="0" w:color="auto"/>
            </w:tcBorders>
            <w:shd w:val="clear" w:color="000000" w:fill="FFFFFF"/>
            <w:noWrap/>
            <w:vAlign w:val="center"/>
          </w:tcPr>
          <w:p w14:paraId="251DCD34" w14:textId="021D20FB"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40,000</w:t>
            </w:r>
          </w:p>
        </w:tc>
        <w:tc>
          <w:tcPr>
            <w:tcW w:w="1170" w:type="dxa"/>
            <w:tcBorders>
              <w:top w:val="nil"/>
              <w:left w:val="nil"/>
              <w:bottom w:val="single" w:sz="8" w:space="0" w:color="auto"/>
              <w:right w:val="single" w:sz="8" w:space="0" w:color="auto"/>
            </w:tcBorders>
            <w:shd w:val="clear" w:color="000000" w:fill="FFFFFF"/>
            <w:vAlign w:val="center"/>
          </w:tcPr>
          <w:p w14:paraId="2C08746A" w14:textId="674F469B"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5,000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355FCB1" w14:textId="4B26D6BA"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B</w:t>
            </w:r>
          </w:p>
        </w:tc>
      </w:tr>
      <w:tr w:rsidR="00CA49D0" w:rsidRPr="005808BA" w14:paraId="6E67C8B6" w14:textId="77777777" w:rsidTr="00AA15F8">
        <w:trPr>
          <w:trHeight w:val="98"/>
        </w:trPr>
        <w:tc>
          <w:tcPr>
            <w:tcW w:w="1913" w:type="dxa"/>
            <w:vMerge/>
            <w:tcBorders>
              <w:left w:val="single" w:sz="4" w:space="0" w:color="auto"/>
              <w:right w:val="single" w:sz="4" w:space="0" w:color="auto"/>
            </w:tcBorders>
            <w:noWrap/>
            <w:vAlign w:val="center"/>
            <w:hideMark/>
          </w:tcPr>
          <w:p w14:paraId="669D89EA"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984" w:type="dxa"/>
            <w:vMerge/>
            <w:tcBorders>
              <w:left w:val="nil"/>
              <w:right w:val="single" w:sz="4" w:space="0" w:color="auto"/>
            </w:tcBorders>
            <w:hideMark/>
          </w:tcPr>
          <w:p w14:paraId="44C0BED5"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hideMark/>
          </w:tcPr>
          <w:p w14:paraId="3165CFA4"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hideMark/>
          </w:tcPr>
          <w:p w14:paraId="29DB8D63"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nil"/>
              <w:left w:val="nil"/>
              <w:right w:val="single" w:sz="4" w:space="0" w:color="auto"/>
            </w:tcBorders>
            <w:noWrap/>
            <w:hideMark/>
          </w:tcPr>
          <w:p w14:paraId="66CBDB64"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71600</w:t>
            </w:r>
          </w:p>
        </w:tc>
        <w:tc>
          <w:tcPr>
            <w:tcW w:w="3037" w:type="dxa"/>
            <w:gridSpan w:val="2"/>
            <w:tcBorders>
              <w:top w:val="single" w:sz="4" w:space="0" w:color="auto"/>
              <w:left w:val="nil"/>
              <w:right w:val="single" w:sz="4" w:space="0" w:color="auto"/>
            </w:tcBorders>
            <w:shd w:val="clear" w:color="auto" w:fill="FFFFFF"/>
            <w:noWrap/>
            <w:hideMark/>
          </w:tcPr>
          <w:p w14:paraId="35AC6FA8"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Travel</w:t>
            </w:r>
          </w:p>
        </w:tc>
        <w:tc>
          <w:tcPr>
            <w:tcW w:w="1260" w:type="dxa"/>
            <w:tcBorders>
              <w:top w:val="single" w:sz="4" w:space="0" w:color="auto"/>
              <w:left w:val="nil"/>
              <w:right w:val="single" w:sz="4" w:space="0" w:color="auto"/>
            </w:tcBorders>
            <w:shd w:val="clear" w:color="auto" w:fill="FFFFCC"/>
            <w:noWrap/>
            <w:hideMark/>
          </w:tcPr>
          <w:p w14:paraId="33446230" w14:textId="3286F5AE"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40</w:t>
            </w:r>
            <w:r w:rsidRPr="005808BA">
              <w:rPr>
                <w:rFonts w:ascii="Calibri" w:eastAsia="SimSun" w:hAnsi="Calibri" w:cs="Times New Roman"/>
                <w:sz w:val="18"/>
                <w:szCs w:val="18"/>
                <w:lang w:val="en-US" w:eastAsia="ru-RU"/>
              </w:rPr>
              <w:t>,000</w:t>
            </w:r>
          </w:p>
        </w:tc>
        <w:tc>
          <w:tcPr>
            <w:tcW w:w="1080" w:type="dxa"/>
            <w:gridSpan w:val="2"/>
            <w:tcBorders>
              <w:top w:val="nil"/>
              <w:left w:val="nil"/>
              <w:bottom w:val="nil"/>
              <w:right w:val="single" w:sz="8" w:space="0" w:color="auto"/>
            </w:tcBorders>
            <w:shd w:val="clear" w:color="000000" w:fill="FFFFFF"/>
            <w:noWrap/>
            <w:vAlign w:val="center"/>
          </w:tcPr>
          <w:p w14:paraId="6177A354" w14:textId="668A6CDB"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8,000</w:t>
            </w:r>
          </w:p>
        </w:tc>
        <w:tc>
          <w:tcPr>
            <w:tcW w:w="1170" w:type="dxa"/>
            <w:tcBorders>
              <w:top w:val="nil"/>
              <w:left w:val="nil"/>
              <w:bottom w:val="nil"/>
              <w:right w:val="single" w:sz="8" w:space="0" w:color="auto"/>
            </w:tcBorders>
            <w:shd w:val="clear" w:color="000000" w:fill="FFFFFF"/>
            <w:noWrap/>
            <w:vAlign w:val="center"/>
          </w:tcPr>
          <w:p w14:paraId="45C1A9D4" w14:textId="1EF3B996" w:rsidR="00CA49D0" w:rsidRPr="005808BA" w:rsidRDefault="00CA49D0" w:rsidP="00CA49D0">
            <w:pPr>
              <w:spacing w:after="0" w:line="240" w:lineRule="auto"/>
              <w:jc w:val="right"/>
              <w:rPr>
                <w:rFonts w:ascii="Calibri" w:eastAsia="SimSun" w:hAnsi="Calibri" w:cs="Times New Roman"/>
                <w:sz w:val="18"/>
                <w:szCs w:val="18"/>
                <w:lang w:val="es-PA" w:eastAsia="ru-RU"/>
              </w:rPr>
            </w:pPr>
            <w:r>
              <w:rPr>
                <w:rFonts w:ascii="Calibri" w:hAnsi="Calibri"/>
                <w:color w:val="000000"/>
                <w:sz w:val="18"/>
                <w:szCs w:val="18"/>
                <w:lang w:val="es-PA"/>
              </w:rPr>
              <w:t>25,000</w:t>
            </w:r>
          </w:p>
        </w:tc>
        <w:tc>
          <w:tcPr>
            <w:tcW w:w="1170" w:type="dxa"/>
            <w:tcBorders>
              <w:top w:val="nil"/>
              <w:left w:val="nil"/>
              <w:bottom w:val="single" w:sz="8" w:space="0" w:color="auto"/>
              <w:right w:val="single" w:sz="8" w:space="0" w:color="auto"/>
            </w:tcBorders>
            <w:shd w:val="clear" w:color="000000" w:fill="FFFFFF"/>
            <w:vAlign w:val="center"/>
          </w:tcPr>
          <w:p w14:paraId="11F947B1" w14:textId="49ED0817"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7,000</w:t>
            </w:r>
          </w:p>
        </w:tc>
        <w:tc>
          <w:tcPr>
            <w:tcW w:w="1530" w:type="dxa"/>
            <w:tcBorders>
              <w:top w:val="single" w:sz="4" w:space="0" w:color="auto"/>
              <w:left w:val="single" w:sz="4" w:space="0" w:color="auto"/>
              <w:right w:val="single" w:sz="4" w:space="0" w:color="auto"/>
            </w:tcBorders>
            <w:shd w:val="clear" w:color="auto" w:fill="FFFFFF"/>
          </w:tcPr>
          <w:p w14:paraId="319CFB77" w14:textId="5B66CDFD"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C</w:t>
            </w:r>
          </w:p>
        </w:tc>
      </w:tr>
      <w:tr w:rsidR="00CA49D0" w:rsidRPr="005808BA" w14:paraId="5B33CCAA" w14:textId="77777777" w:rsidTr="00AA15F8">
        <w:trPr>
          <w:trHeight w:val="98"/>
        </w:trPr>
        <w:tc>
          <w:tcPr>
            <w:tcW w:w="1913" w:type="dxa"/>
            <w:vMerge/>
            <w:tcBorders>
              <w:left w:val="single" w:sz="4" w:space="0" w:color="auto"/>
              <w:right w:val="single" w:sz="4" w:space="0" w:color="auto"/>
            </w:tcBorders>
            <w:noWrap/>
            <w:vAlign w:val="center"/>
          </w:tcPr>
          <w:p w14:paraId="0DC3017D"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984" w:type="dxa"/>
            <w:vMerge/>
            <w:tcBorders>
              <w:left w:val="nil"/>
              <w:right w:val="single" w:sz="4" w:space="0" w:color="auto"/>
            </w:tcBorders>
          </w:tcPr>
          <w:p w14:paraId="0D1CD867"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tcPr>
          <w:p w14:paraId="26A69F8B"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tcPr>
          <w:p w14:paraId="61434CD8"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nil"/>
              <w:left w:val="nil"/>
              <w:right w:val="single" w:sz="4" w:space="0" w:color="auto"/>
            </w:tcBorders>
            <w:noWrap/>
          </w:tcPr>
          <w:p w14:paraId="6DE7E0E5" w14:textId="6D3F84CD" w:rsidR="00CA49D0" w:rsidRPr="008A3D02" w:rsidRDefault="00CA49D0" w:rsidP="00CA49D0">
            <w:pPr>
              <w:spacing w:after="0" w:line="240" w:lineRule="auto"/>
              <w:jc w:val="center"/>
              <w:rPr>
                <w:rFonts w:ascii="Calibri" w:eastAsia="SimSun" w:hAnsi="Calibri" w:cs="Times New Roman"/>
                <w:sz w:val="18"/>
                <w:szCs w:val="18"/>
                <w:lang w:eastAsia="ru-RU"/>
              </w:rPr>
            </w:pPr>
            <w:r>
              <w:rPr>
                <w:rFonts w:ascii="Calibri" w:eastAsia="SimSun" w:hAnsi="Calibri" w:cs="Times New Roman"/>
                <w:sz w:val="18"/>
                <w:szCs w:val="18"/>
                <w:lang w:eastAsia="ru-RU"/>
              </w:rPr>
              <w:t>72100</w:t>
            </w:r>
          </w:p>
        </w:tc>
        <w:tc>
          <w:tcPr>
            <w:tcW w:w="3037" w:type="dxa"/>
            <w:gridSpan w:val="2"/>
            <w:tcBorders>
              <w:top w:val="single" w:sz="4" w:space="0" w:color="auto"/>
              <w:left w:val="nil"/>
              <w:right w:val="single" w:sz="4" w:space="0" w:color="auto"/>
            </w:tcBorders>
            <w:shd w:val="clear" w:color="auto" w:fill="FFFFFF"/>
            <w:noWrap/>
          </w:tcPr>
          <w:p w14:paraId="73AB96A4" w14:textId="2EB861EC"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8A3D02">
              <w:rPr>
                <w:rFonts w:ascii="Calibri" w:eastAsia="SimSun" w:hAnsi="Calibri" w:cs="Times New Roman"/>
                <w:sz w:val="18"/>
                <w:szCs w:val="18"/>
                <w:lang w:val="ru-RU" w:eastAsia="ru-RU"/>
              </w:rPr>
              <w:t>Contractual Services-Companies</w:t>
            </w:r>
          </w:p>
        </w:tc>
        <w:tc>
          <w:tcPr>
            <w:tcW w:w="1260" w:type="dxa"/>
            <w:tcBorders>
              <w:top w:val="single" w:sz="4" w:space="0" w:color="auto"/>
              <w:left w:val="nil"/>
              <w:right w:val="single" w:sz="4" w:space="0" w:color="auto"/>
            </w:tcBorders>
            <w:shd w:val="clear" w:color="auto" w:fill="FFFFCC"/>
            <w:noWrap/>
          </w:tcPr>
          <w:p w14:paraId="18BF0FAF" w14:textId="072367C4" w:rsidR="00CA49D0" w:rsidRDefault="00CA49D0"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25,000</w:t>
            </w:r>
          </w:p>
        </w:tc>
        <w:tc>
          <w:tcPr>
            <w:tcW w:w="1080" w:type="dxa"/>
            <w:gridSpan w:val="2"/>
            <w:tcBorders>
              <w:top w:val="single" w:sz="8" w:space="0" w:color="auto"/>
              <w:left w:val="nil"/>
              <w:bottom w:val="nil"/>
              <w:right w:val="single" w:sz="8" w:space="0" w:color="auto"/>
            </w:tcBorders>
            <w:shd w:val="clear" w:color="000000" w:fill="FFFFFF"/>
            <w:noWrap/>
            <w:vAlign w:val="center"/>
          </w:tcPr>
          <w:p w14:paraId="74C97B05" w14:textId="74508D7C"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3,000</w:t>
            </w:r>
          </w:p>
        </w:tc>
        <w:tc>
          <w:tcPr>
            <w:tcW w:w="1170" w:type="dxa"/>
            <w:tcBorders>
              <w:top w:val="single" w:sz="8" w:space="0" w:color="auto"/>
              <w:left w:val="nil"/>
              <w:bottom w:val="nil"/>
              <w:right w:val="single" w:sz="8" w:space="0" w:color="auto"/>
            </w:tcBorders>
            <w:shd w:val="clear" w:color="000000" w:fill="FFFFFF"/>
            <w:noWrap/>
            <w:vAlign w:val="center"/>
          </w:tcPr>
          <w:p w14:paraId="708175D6" w14:textId="24ABF77F" w:rsidR="00CA49D0" w:rsidRPr="005808BA" w:rsidRDefault="00CA49D0" w:rsidP="00CA49D0">
            <w:pPr>
              <w:spacing w:after="0" w:line="240" w:lineRule="auto"/>
              <w:jc w:val="right"/>
              <w:rPr>
                <w:rFonts w:ascii="Calibri" w:eastAsia="SimSun" w:hAnsi="Calibri" w:cs="Times New Roman"/>
                <w:sz w:val="18"/>
                <w:szCs w:val="18"/>
                <w:lang w:val="es-PA" w:eastAsia="ru-RU"/>
              </w:rPr>
            </w:pPr>
            <w:r>
              <w:rPr>
                <w:rFonts w:ascii="Calibri" w:hAnsi="Calibri"/>
                <w:color w:val="000000"/>
                <w:sz w:val="18"/>
                <w:szCs w:val="18"/>
                <w:lang w:val="es-PA"/>
              </w:rPr>
              <w:t>20,000</w:t>
            </w:r>
          </w:p>
        </w:tc>
        <w:tc>
          <w:tcPr>
            <w:tcW w:w="1170" w:type="dxa"/>
            <w:tcBorders>
              <w:top w:val="nil"/>
              <w:left w:val="nil"/>
              <w:bottom w:val="single" w:sz="8" w:space="0" w:color="auto"/>
              <w:right w:val="single" w:sz="8" w:space="0" w:color="auto"/>
            </w:tcBorders>
            <w:shd w:val="clear" w:color="000000" w:fill="FFFFFF"/>
            <w:vAlign w:val="center"/>
          </w:tcPr>
          <w:p w14:paraId="6BC763A9" w14:textId="71B1FCAD"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2,000</w:t>
            </w:r>
          </w:p>
        </w:tc>
        <w:tc>
          <w:tcPr>
            <w:tcW w:w="1530" w:type="dxa"/>
            <w:tcBorders>
              <w:top w:val="single" w:sz="4" w:space="0" w:color="auto"/>
              <w:left w:val="single" w:sz="4" w:space="0" w:color="auto"/>
              <w:right w:val="single" w:sz="4" w:space="0" w:color="auto"/>
            </w:tcBorders>
            <w:shd w:val="clear" w:color="auto" w:fill="FFFFFF"/>
          </w:tcPr>
          <w:p w14:paraId="319278DF" w14:textId="2340108B"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D</w:t>
            </w:r>
          </w:p>
        </w:tc>
      </w:tr>
      <w:tr w:rsidR="00CA49D0" w:rsidRPr="005808BA" w14:paraId="01CD2703" w14:textId="77777777" w:rsidTr="00AA15F8">
        <w:tc>
          <w:tcPr>
            <w:tcW w:w="1913" w:type="dxa"/>
            <w:vMerge/>
            <w:tcBorders>
              <w:left w:val="single" w:sz="4" w:space="0" w:color="auto"/>
              <w:right w:val="single" w:sz="4" w:space="0" w:color="auto"/>
            </w:tcBorders>
            <w:noWrap/>
            <w:vAlign w:val="center"/>
          </w:tcPr>
          <w:p w14:paraId="1E8BEF12"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984" w:type="dxa"/>
            <w:vMerge/>
            <w:tcBorders>
              <w:left w:val="nil"/>
              <w:right w:val="single" w:sz="4" w:space="0" w:color="auto"/>
            </w:tcBorders>
          </w:tcPr>
          <w:p w14:paraId="795F503D"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tcPr>
          <w:p w14:paraId="58963808"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tcPr>
          <w:p w14:paraId="15F07F1F"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nil"/>
              <w:left w:val="nil"/>
              <w:bottom w:val="single" w:sz="4" w:space="0" w:color="auto"/>
              <w:right w:val="single" w:sz="4" w:space="0" w:color="auto"/>
            </w:tcBorders>
            <w:noWrap/>
          </w:tcPr>
          <w:p w14:paraId="46499789" w14:textId="77777777" w:rsidR="00CA49D0" w:rsidRPr="005808BA" w:rsidRDefault="00CA49D0" w:rsidP="00CA49D0">
            <w:pPr>
              <w:spacing w:after="0" w:line="240" w:lineRule="auto"/>
              <w:jc w:val="center"/>
              <w:rPr>
                <w:rFonts w:ascii="Calibri" w:eastAsia="SimSun" w:hAnsi="Calibri" w:cs="Times New Roman"/>
                <w:sz w:val="18"/>
                <w:szCs w:val="18"/>
                <w:lang w:val="en-US"/>
              </w:rPr>
            </w:pPr>
            <w:r w:rsidRPr="005808BA">
              <w:rPr>
                <w:rFonts w:ascii="Calibri" w:eastAsia="SimSun" w:hAnsi="Calibri" w:cs="Times New Roman"/>
                <w:sz w:val="18"/>
                <w:szCs w:val="18"/>
                <w:lang w:val="ru-RU" w:eastAsia="ru-RU"/>
              </w:rPr>
              <w:t>74200</w:t>
            </w:r>
          </w:p>
        </w:tc>
        <w:tc>
          <w:tcPr>
            <w:tcW w:w="3037" w:type="dxa"/>
            <w:gridSpan w:val="2"/>
            <w:tcBorders>
              <w:top w:val="single" w:sz="4" w:space="0" w:color="auto"/>
              <w:left w:val="nil"/>
              <w:bottom w:val="single" w:sz="4" w:space="0" w:color="auto"/>
              <w:right w:val="single" w:sz="4" w:space="0" w:color="auto"/>
            </w:tcBorders>
            <w:shd w:val="clear" w:color="auto" w:fill="FFFFFF"/>
            <w:noWrap/>
          </w:tcPr>
          <w:p w14:paraId="1047435B" w14:textId="77777777" w:rsidR="00CA49D0" w:rsidRPr="005808BA" w:rsidRDefault="00CA49D0" w:rsidP="00CA49D0">
            <w:pPr>
              <w:spacing w:after="0" w:line="240" w:lineRule="auto"/>
              <w:jc w:val="both"/>
              <w:rPr>
                <w:rFonts w:ascii="Calibri" w:eastAsia="SimSun" w:hAnsi="Calibri" w:cs="Times New Roman"/>
                <w:sz w:val="18"/>
                <w:szCs w:val="18"/>
                <w:lang w:val="en-US"/>
              </w:rPr>
            </w:pPr>
            <w:r w:rsidRPr="005808BA">
              <w:rPr>
                <w:rFonts w:ascii="Calibri" w:eastAsia="SimSun" w:hAnsi="Calibri" w:cs="Times New Roman"/>
                <w:sz w:val="18"/>
                <w:szCs w:val="18"/>
                <w:lang w:val="en-US" w:eastAsia="ru-RU"/>
              </w:rPr>
              <w:t>Audio Visual &amp; Print Prod Costs</w:t>
            </w:r>
          </w:p>
        </w:tc>
        <w:tc>
          <w:tcPr>
            <w:tcW w:w="1260" w:type="dxa"/>
            <w:tcBorders>
              <w:top w:val="single" w:sz="4" w:space="0" w:color="auto"/>
              <w:left w:val="nil"/>
              <w:bottom w:val="single" w:sz="4" w:space="0" w:color="auto"/>
              <w:right w:val="single" w:sz="4" w:space="0" w:color="auto"/>
            </w:tcBorders>
            <w:shd w:val="clear" w:color="auto" w:fill="FFFFCC"/>
            <w:noWrap/>
          </w:tcPr>
          <w:p w14:paraId="18EFB2B5" w14:textId="63A74B21"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eastAsia="SimSun" w:hAnsi="Calibri" w:cs="Times New Roman"/>
                <w:sz w:val="18"/>
                <w:szCs w:val="18"/>
                <w:lang w:val="en-US"/>
              </w:rPr>
              <w:t>1</w:t>
            </w:r>
            <w:r w:rsidRPr="005808BA">
              <w:rPr>
                <w:rFonts w:ascii="Calibri" w:eastAsia="SimSun" w:hAnsi="Calibri" w:cs="Times New Roman"/>
                <w:sz w:val="18"/>
                <w:szCs w:val="18"/>
                <w:lang w:val="en-US"/>
              </w:rPr>
              <w:t>5,000</w:t>
            </w:r>
          </w:p>
        </w:tc>
        <w:tc>
          <w:tcPr>
            <w:tcW w:w="1080" w:type="dxa"/>
            <w:gridSpan w:val="2"/>
            <w:tcBorders>
              <w:top w:val="single" w:sz="8" w:space="0" w:color="auto"/>
              <w:left w:val="nil"/>
              <w:bottom w:val="single" w:sz="8" w:space="0" w:color="auto"/>
              <w:right w:val="single" w:sz="8" w:space="0" w:color="auto"/>
            </w:tcBorders>
            <w:shd w:val="clear" w:color="000000" w:fill="FFFFFF"/>
            <w:noWrap/>
            <w:vAlign w:val="center"/>
          </w:tcPr>
          <w:p w14:paraId="3EA78985" w14:textId="74429AA6"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1,500</w:t>
            </w:r>
          </w:p>
        </w:tc>
        <w:tc>
          <w:tcPr>
            <w:tcW w:w="1170" w:type="dxa"/>
            <w:tcBorders>
              <w:top w:val="single" w:sz="8" w:space="0" w:color="auto"/>
              <w:left w:val="nil"/>
              <w:bottom w:val="single" w:sz="8" w:space="0" w:color="auto"/>
              <w:right w:val="single" w:sz="8" w:space="0" w:color="auto"/>
            </w:tcBorders>
            <w:shd w:val="clear" w:color="000000" w:fill="FFFFFF"/>
            <w:noWrap/>
            <w:vAlign w:val="center"/>
          </w:tcPr>
          <w:p w14:paraId="3C537CE6" w14:textId="72058CA0"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10,500</w:t>
            </w:r>
          </w:p>
        </w:tc>
        <w:tc>
          <w:tcPr>
            <w:tcW w:w="1170" w:type="dxa"/>
            <w:tcBorders>
              <w:top w:val="nil"/>
              <w:left w:val="nil"/>
              <w:bottom w:val="single" w:sz="8" w:space="0" w:color="auto"/>
              <w:right w:val="single" w:sz="8" w:space="0" w:color="auto"/>
            </w:tcBorders>
            <w:shd w:val="clear" w:color="000000" w:fill="FFFFFF"/>
            <w:vAlign w:val="center"/>
          </w:tcPr>
          <w:p w14:paraId="53FAFB78" w14:textId="56EB74E1"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3,000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9EB4544" w14:textId="5B4728F4"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E</w:t>
            </w:r>
          </w:p>
        </w:tc>
      </w:tr>
      <w:tr w:rsidR="00CA49D0" w:rsidRPr="005808BA" w14:paraId="69EBDCEA" w14:textId="77777777" w:rsidTr="00AA15F8">
        <w:tc>
          <w:tcPr>
            <w:tcW w:w="1913" w:type="dxa"/>
            <w:vMerge/>
            <w:tcBorders>
              <w:left w:val="single" w:sz="4" w:space="0" w:color="auto"/>
              <w:right w:val="single" w:sz="4" w:space="0" w:color="auto"/>
            </w:tcBorders>
            <w:noWrap/>
            <w:vAlign w:val="center"/>
          </w:tcPr>
          <w:p w14:paraId="365E4162"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984" w:type="dxa"/>
            <w:vMerge/>
            <w:tcBorders>
              <w:left w:val="nil"/>
              <w:right w:val="single" w:sz="4" w:space="0" w:color="auto"/>
            </w:tcBorders>
          </w:tcPr>
          <w:p w14:paraId="58FF1548"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tcPr>
          <w:p w14:paraId="4CE06357"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tcPr>
          <w:p w14:paraId="574FE7EE"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nil"/>
              <w:left w:val="nil"/>
              <w:bottom w:val="single" w:sz="4" w:space="0" w:color="auto"/>
              <w:right w:val="single" w:sz="4" w:space="0" w:color="auto"/>
            </w:tcBorders>
            <w:noWrap/>
          </w:tcPr>
          <w:p w14:paraId="2F8181CF" w14:textId="77777777" w:rsidR="00CA49D0" w:rsidRPr="005808BA" w:rsidRDefault="00CA49D0" w:rsidP="00CA49D0">
            <w:pPr>
              <w:spacing w:after="0" w:line="240" w:lineRule="auto"/>
              <w:jc w:val="center"/>
              <w:rPr>
                <w:rFonts w:ascii="Calibri" w:eastAsia="SimSun" w:hAnsi="Calibri" w:cs="Times New Roman"/>
                <w:sz w:val="18"/>
                <w:szCs w:val="18"/>
                <w:lang w:val="en-US"/>
              </w:rPr>
            </w:pPr>
            <w:r w:rsidRPr="005808BA">
              <w:rPr>
                <w:rFonts w:ascii="Calibri" w:eastAsia="SimSun" w:hAnsi="Calibri" w:cs="Times New Roman"/>
                <w:sz w:val="18"/>
                <w:szCs w:val="18"/>
                <w:lang w:val="en-US"/>
              </w:rPr>
              <w:t>75700</w:t>
            </w:r>
          </w:p>
        </w:tc>
        <w:tc>
          <w:tcPr>
            <w:tcW w:w="3037" w:type="dxa"/>
            <w:gridSpan w:val="2"/>
            <w:tcBorders>
              <w:top w:val="single" w:sz="4" w:space="0" w:color="auto"/>
              <w:left w:val="nil"/>
              <w:bottom w:val="single" w:sz="4" w:space="0" w:color="auto"/>
              <w:right w:val="single" w:sz="4" w:space="0" w:color="auto"/>
            </w:tcBorders>
            <w:shd w:val="clear" w:color="auto" w:fill="FFFFFF"/>
            <w:noWrap/>
          </w:tcPr>
          <w:p w14:paraId="165DAEB4" w14:textId="77777777" w:rsidR="00CA49D0" w:rsidRPr="005808BA" w:rsidRDefault="00CA49D0" w:rsidP="00CA49D0">
            <w:pPr>
              <w:spacing w:after="0" w:line="240" w:lineRule="auto"/>
              <w:jc w:val="both"/>
              <w:rPr>
                <w:rFonts w:ascii="Calibri" w:eastAsia="SimSun" w:hAnsi="Calibri" w:cs="Times New Roman"/>
                <w:sz w:val="18"/>
                <w:szCs w:val="18"/>
                <w:lang w:val="en-US"/>
              </w:rPr>
            </w:pPr>
            <w:r w:rsidRPr="005808BA">
              <w:rPr>
                <w:rFonts w:ascii="Calibri" w:eastAsia="SimSun" w:hAnsi="Calibri" w:cs="Times New Roman"/>
                <w:sz w:val="18"/>
                <w:szCs w:val="18"/>
                <w:lang w:val="en-US"/>
              </w:rPr>
              <w:t>Training, Workshops &amp; Conferences</w:t>
            </w:r>
          </w:p>
        </w:tc>
        <w:tc>
          <w:tcPr>
            <w:tcW w:w="1260" w:type="dxa"/>
            <w:tcBorders>
              <w:top w:val="single" w:sz="4" w:space="0" w:color="auto"/>
              <w:left w:val="nil"/>
              <w:bottom w:val="single" w:sz="4" w:space="0" w:color="auto"/>
              <w:right w:val="single" w:sz="4" w:space="0" w:color="auto"/>
            </w:tcBorders>
            <w:shd w:val="clear" w:color="auto" w:fill="FFFFCC"/>
            <w:noWrap/>
          </w:tcPr>
          <w:p w14:paraId="2303F454" w14:textId="366EC6F9"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eastAsia="SimSun" w:hAnsi="Calibri" w:cs="Times New Roman"/>
                <w:sz w:val="18"/>
                <w:szCs w:val="18"/>
                <w:lang w:val="en-US"/>
              </w:rPr>
              <w:t>25</w:t>
            </w:r>
            <w:r w:rsidRPr="005808BA">
              <w:rPr>
                <w:rFonts w:ascii="Calibri" w:eastAsia="SimSun" w:hAnsi="Calibri" w:cs="Times New Roman"/>
                <w:sz w:val="18"/>
                <w:szCs w:val="18"/>
                <w:lang w:val="en-US"/>
              </w:rPr>
              <w:t>,000</w:t>
            </w:r>
          </w:p>
        </w:tc>
        <w:tc>
          <w:tcPr>
            <w:tcW w:w="1080" w:type="dxa"/>
            <w:gridSpan w:val="2"/>
            <w:tcBorders>
              <w:top w:val="nil"/>
              <w:left w:val="nil"/>
              <w:bottom w:val="single" w:sz="8" w:space="0" w:color="auto"/>
              <w:right w:val="single" w:sz="8" w:space="0" w:color="auto"/>
            </w:tcBorders>
            <w:shd w:val="clear" w:color="000000" w:fill="FFFFFF"/>
            <w:noWrap/>
            <w:vAlign w:val="center"/>
          </w:tcPr>
          <w:p w14:paraId="69C0F22F" w14:textId="04EB6268"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1,000</w:t>
            </w:r>
          </w:p>
        </w:tc>
        <w:tc>
          <w:tcPr>
            <w:tcW w:w="1170" w:type="dxa"/>
            <w:tcBorders>
              <w:top w:val="nil"/>
              <w:left w:val="nil"/>
              <w:bottom w:val="single" w:sz="8" w:space="0" w:color="auto"/>
              <w:right w:val="single" w:sz="8" w:space="0" w:color="auto"/>
            </w:tcBorders>
            <w:shd w:val="clear" w:color="000000" w:fill="FFFFFF"/>
            <w:noWrap/>
            <w:vAlign w:val="center"/>
          </w:tcPr>
          <w:p w14:paraId="2A17F3B4" w14:textId="676BE305"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20,000</w:t>
            </w:r>
          </w:p>
        </w:tc>
        <w:tc>
          <w:tcPr>
            <w:tcW w:w="1170" w:type="dxa"/>
            <w:tcBorders>
              <w:top w:val="nil"/>
              <w:left w:val="nil"/>
              <w:bottom w:val="single" w:sz="8" w:space="0" w:color="auto"/>
              <w:right w:val="single" w:sz="8" w:space="0" w:color="auto"/>
            </w:tcBorders>
            <w:shd w:val="clear" w:color="000000" w:fill="FFFFFF"/>
            <w:vAlign w:val="center"/>
          </w:tcPr>
          <w:p w14:paraId="0CA86155" w14:textId="1B45C9F3"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4,000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3ED192E" w14:textId="5E8E1AD6"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F</w:t>
            </w:r>
          </w:p>
        </w:tc>
      </w:tr>
      <w:tr w:rsidR="00CA49D0" w:rsidRPr="005808BA" w14:paraId="33915298" w14:textId="77777777" w:rsidTr="00AA15F8">
        <w:tc>
          <w:tcPr>
            <w:tcW w:w="1913" w:type="dxa"/>
            <w:vMerge/>
            <w:tcBorders>
              <w:left w:val="single" w:sz="4" w:space="0" w:color="auto"/>
              <w:right w:val="single" w:sz="4" w:space="0" w:color="auto"/>
            </w:tcBorders>
            <w:noWrap/>
            <w:vAlign w:val="center"/>
            <w:hideMark/>
          </w:tcPr>
          <w:p w14:paraId="1886E9BB"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984" w:type="dxa"/>
            <w:vMerge/>
            <w:tcBorders>
              <w:left w:val="nil"/>
              <w:bottom w:val="single" w:sz="4" w:space="0" w:color="auto"/>
              <w:right w:val="single" w:sz="4" w:space="0" w:color="auto"/>
            </w:tcBorders>
            <w:hideMark/>
          </w:tcPr>
          <w:p w14:paraId="0AC173EB"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bottom w:val="single" w:sz="4" w:space="0" w:color="auto"/>
              <w:right w:val="single" w:sz="4" w:space="0" w:color="auto"/>
            </w:tcBorders>
            <w:hideMark/>
          </w:tcPr>
          <w:p w14:paraId="3A88AEB3"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bottom w:val="single" w:sz="4" w:space="0" w:color="auto"/>
              <w:right w:val="single" w:sz="4" w:space="0" w:color="auto"/>
            </w:tcBorders>
            <w:noWrap/>
            <w:hideMark/>
          </w:tcPr>
          <w:p w14:paraId="28A2E8F0"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nil"/>
              <w:left w:val="nil"/>
              <w:bottom w:val="single" w:sz="4" w:space="0" w:color="auto"/>
              <w:right w:val="single" w:sz="4" w:space="0" w:color="auto"/>
            </w:tcBorders>
            <w:noWrap/>
          </w:tcPr>
          <w:p w14:paraId="0CCF05D9" w14:textId="77777777" w:rsidR="00CA49D0" w:rsidRPr="005808BA" w:rsidRDefault="00CA49D0" w:rsidP="00CA49D0">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rPr>
              <w:t>74500</w:t>
            </w:r>
          </w:p>
        </w:tc>
        <w:tc>
          <w:tcPr>
            <w:tcW w:w="3037" w:type="dxa"/>
            <w:gridSpan w:val="2"/>
            <w:tcBorders>
              <w:top w:val="single" w:sz="4" w:space="0" w:color="auto"/>
              <w:left w:val="nil"/>
              <w:bottom w:val="single" w:sz="4" w:space="0" w:color="auto"/>
              <w:right w:val="single" w:sz="4" w:space="0" w:color="auto"/>
            </w:tcBorders>
            <w:shd w:val="clear" w:color="auto" w:fill="FFFFFF"/>
            <w:noWrap/>
          </w:tcPr>
          <w:p w14:paraId="7D201452"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rPr>
              <w:t>Miscellaneous</w:t>
            </w:r>
          </w:p>
        </w:tc>
        <w:tc>
          <w:tcPr>
            <w:tcW w:w="1260" w:type="dxa"/>
            <w:tcBorders>
              <w:top w:val="single" w:sz="4" w:space="0" w:color="auto"/>
              <w:left w:val="nil"/>
              <w:bottom w:val="single" w:sz="4" w:space="0" w:color="auto"/>
              <w:right w:val="single" w:sz="4" w:space="0" w:color="auto"/>
            </w:tcBorders>
            <w:shd w:val="clear" w:color="auto" w:fill="FFFFCC"/>
            <w:noWrap/>
            <w:hideMark/>
          </w:tcPr>
          <w:p w14:paraId="52B87A5C" w14:textId="77777777" w:rsidR="00CA49D0" w:rsidRPr="005808BA" w:rsidRDefault="00CA49D0" w:rsidP="00CA49D0">
            <w:pPr>
              <w:spacing w:after="0" w:line="240" w:lineRule="auto"/>
              <w:jc w:val="right"/>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5,000</w:t>
            </w:r>
          </w:p>
        </w:tc>
        <w:tc>
          <w:tcPr>
            <w:tcW w:w="1080" w:type="dxa"/>
            <w:gridSpan w:val="2"/>
            <w:tcBorders>
              <w:top w:val="nil"/>
              <w:left w:val="nil"/>
              <w:bottom w:val="single" w:sz="8" w:space="0" w:color="auto"/>
              <w:right w:val="single" w:sz="8" w:space="0" w:color="auto"/>
            </w:tcBorders>
            <w:shd w:val="clear" w:color="000000" w:fill="FFFFFF"/>
            <w:noWrap/>
            <w:vAlign w:val="center"/>
          </w:tcPr>
          <w:p w14:paraId="0A3AFCE8" w14:textId="2855DABF"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500</w:t>
            </w:r>
          </w:p>
        </w:tc>
        <w:tc>
          <w:tcPr>
            <w:tcW w:w="1170" w:type="dxa"/>
            <w:tcBorders>
              <w:top w:val="nil"/>
              <w:left w:val="nil"/>
              <w:bottom w:val="single" w:sz="8" w:space="0" w:color="auto"/>
              <w:right w:val="single" w:sz="8" w:space="0" w:color="auto"/>
            </w:tcBorders>
            <w:shd w:val="clear" w:color="000000" w:fill="FFFFFF"/>
            <w:noWrap/>
            <w:vAlign w:val="center"/>
          </w:tcPr>
          <w:p w14:paraId="14050FD3" w14:textId="51ECFEF8"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2,500</w:t>
            </w:r>
          </w:p>
        </w:tc>
        <w:tc>
          <w:tcPr>
            <w:tcW w:w="1170" w:type="dxa"/>
            <w:tcBorders>
              <w:top w:val="nil"/>
              <w:left w:val="nil"/>
              <w:bottom w:val="single" w:sz="8" w:space="0" w:color="auto"/>
              <w:right w:val="single" w:sz="8" w:space="0" w:color="auto"/>
            </w:tcBorders>
            <w:shd w:val="clear" w:color="000000" w:fill="FFFFFF"/>
            <w:vAlign w:val="center"/>
          </w:tcPr>
          <w:p w14:paraId="5808B665" w14:textId="271CEEC5"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2,000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13CC654" w14:textId="32AAA856"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G</w:t>
            </w:r>
          </w:p>
        </w:tc>
      </w:tr>
      <w:tr w:rsidR="00DB6CFB" w:rsidRPr="005808BA" w14:paraId="056AC6BB" w14:textId="77777777" w:rsidTr="00DB6CFB">
        <w:tc>
          <w:tcPr>
            <w:tcW w:w="1913" w:type="dxa"/>
            <w:vMerge/>
            <w:tcBorders>
              <w:left w:val="single" w:sz="4" w:space="0" w:color="auto"/>
              <w:bottom w:val="nil"/>
              <w:right w:val="single" w:sz="4" w:space="0" w:color="auto"/>
            </w:tcBorders>
            <w:shd w:val="clear" w:color="auto" w:fill="auto"/>
            <w:noWrap/>
            <w:vAlign w:val="center"/>
          </w:tcPr>
          <w:p w14:paraId="691A4F08" w14:textId="77777777" w:rsidR="00D86992" w:rsidRPr="005808BA" w:rsidRDefault="00D86992" w:rsidP="005808BA">
            <w:pPr>
              <w:spacing w:after="0" w:line="240" w:lineRule="auto"/>
              <w:jc w:val="both"/>
              <w:rPr>
                <w:rFonts w:ascii="Calibri" w:eastAsia="SimSun" w:hAnsi="Calibri" w:cs="Times New Roman"/>
                <w:sz w:val="18"/>
                <w:szCs w:val="18"/>
                <w:lang w:val="ru-RU" w:eastAsia="ru-RU"/>
              </w:rPr>
            </w:pPr>
          </w:p>
        </w:tc>
        <w:tc>
          <w:tcPr>
            <w:tcW w:w="6727" w:type="dxa"/>
            <w:gridSpan w:val="7"/>
            <w:tcBorders>
              <w:top w:val="single" w:sz="4" w:space="0" w:color="auto"/>
              <w:left w:val="nil"/>
              <w:right w:val="single" w:sz="4" w:space="0" w:color="auto"/>
            </w:tcBorders>
            <w:shd w:val="clear" w:color="auto" w:fill="CCFFCC"/>
            <w:noWrap/>
          </w:tcPr>
          <w:p w14:paraId="3156E07D" w14:textId="77777777" w:rsidR="00D86992" w:rsidRPr="005808BA" w:rsidRDefault="00D86992" w:rsidP="005808BA">
            <w:pPr>
              <w:spacing w:after="0" w:line="240" w:lineRule="auto"/>
              <w:jc w:val="both"/>
              <w:rPr>
                <w:rFonts w:ascii="Calibri" w:eastAsia="SimSun" w:hAnsi="Calibri" w:cs="Times New Roman"/>
                <w:b/>
                <w:bCs/>
                <w:sz w:val="18"/>
                <w:szCs w:val="18"/>
                <w:lang w:val="en-US" w:eastAsia="ru-RU"/>
              </w:rPr>
            </w:pPr>
            <w:r w:rsidRPr="005808BA">
              <w:rPr>
                <w:rFonts w:ascii="Calibri" w:eastAsia="SimSun" w:hAnsi="Calibri" w:cs="Times New Roman"/>
                <w:b/>
                <w:bCs/>
                <w:sz w:val="18"/>
                <w:szCs w:val="18"/>
                <w:lang w:val="en-US" w:eastAsia="ru-RU"/>
              </w:rPr>
              <w:t>GEF Subtotal Atlas Activity 1 (Comp 1)</w:t>
            </w:r>
            <w:r w:rsidRPr="005808BA">
              <w:rPr>
                <w:rFonts w:ascii="Calibri" w:eastAsia="SimSun" w:hAnsi="Calibri" w:cs="Times New Roman"/>
                <w:sz w:val="18"/>
                <w:szCs w:val="18"/>
                <w:lang w:val="en-US" w:eastAsia="ru-RU"/>
              </w:rPr>
              <w:t> </w:t>
            </w:r>
          </w:p>
        </w:tc>
        <w:tc>
          <w:tcPr>
            <w:tcW w:w="1260" w:type="dxa"/>
            <w:tcBorders>
              <w:top w:val="single" w:sz="4" w:space="0" w:color="auto"/>
              <w:left w:val="nil"/>
              <w:bottom w:val="single" w:sz="4" w:space="0" w:color="auto"/>
              <w:right w:val="single" w:sz="4" w:space="0" w:color="auto"/>
            </w:tcBorders>
            <w:shd w:val="clear" w:color="auto" w:fill="CCFFCC"/>
          </w:tcPr>
          <w:p w14:paraId="6CEEFB8A" w14:textId="36EE215F" w:rsidR="00D86992" w:rsidRPr="005808BA" w:rsidRDefault="00DB6CFB"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20</w:t>
            </w:r>
            <w:r w:rsidRPr="005808BA">
              <w:rPr>
                <w:rFonts w:ascii="Calibri" w:eastAsia="SimSun" w:hAnsi="Calibri" w:cs="Times New Roman"/>
                <w:b/>
                <w:bCs/>
                <w:sz w:val="18"/>
                <w:szCs w:val="18"/>
                <w:lang w:val="en-US" w:eastAsia="ru-RU"/>
              </w:rPr>
              <w:t>0</w:t>
            </w:r>
            <w:r w:rsidR="00D86992" w:rsidRPr="005808BA">
              <w:rPr>
                <w:rFonts w:ascii="Calibri" w:eastAsia="SimSun" w:hAnsi="Calibri" w:cs="Times New Roman"/>
                <w:b/>
                <w:bCs/>
                <w:sz w:val="18"/>
                <w:szCs w:val="18"/>
                <w:lang w:val="en-US" w:eastAsia="ru-RU"/>
              </w:rPr>
              <w:t>,000</w:t>
            </w:r>
          </w:p>
        </w:tc>
        <w:tc>
          <w:tcPr>
            <w:tcW w:w="1080" w:type="dxa"/>
            <w:gridSpan w:val="2"/>
            <w:tcBorders>
              <w:top w:val="single" w:sz="4" w:space="0" w:color="auto"/>
              <w:left w:val="nil"/>
              <w:bottom w:val="single" w:sz="4" w:space="0" w:color="auto"/>
              <w:right w:val="single" w:sz="4" w:space="0" w:color="auto"/>
            </w:tcBorders>
            <w:shd w:val="clear" w:color="auto" w:fill="CCFFCC"/>
          </w:tcPr>
          <w:p w14:paraId="2734DF0F" w14:textId="688319DE" w:rsidR="00D86992" w:rsidRPr="005808BA" w:rsidRDefault="00CF4664"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30</w:t>
            </w:r>
            <w:r w:rsidR="005C2AFA">
              <w:rPr>
                <w:rFonts w:ascii="Calibri" w:eastAsia="SimSun" w:hAnsi="Calibri" w:cs="Times New Roman"/>
                <w:b/>
                <w:bCs/>
                <w:sz w:val="18"/>
                <w:szCs w:val="18"/>
                <w:lang w:val="en-US" w:eastAsia="ru-RU"/>
              </w:rPr>
              <w:t>,</w:t>
            </w:r>
            <w:r>
              <w:rPr>
                <w:rFonts w:ascii="Calibri" w:eastAsia="SimSun" w:hAnsi="Calibri" w:cs="Times New Roman"/>
                <w:b/>
                <w:bCs/>
                <w:sz w:val="18"/>
                <w:szCs w:val="18"/>
                <w:lang w:val="en-US" w:eastAsia="ru-RU"/>
              </w:rPr>
              <w:t>000</w:t>
            </w:r>
          </w:p>
        </w:tc>
        <w:tc>
          <w:tcPr>
            <w:tcW w:w="1170" w:type="dxa"/>
            <w:tcBorders>
              <w:top w:val="single" w:sz="4" w:space="0" w:color="auto"/>
              <w:left w:val="nil"/>
              <w:bottom w:val="single" w:sz="4" w:space="0" w:color="auto"/>
              <w:right w:val="single" w:sz="4" w:space="0" w:color="auto"/>
            </w:tcBorders>
            <w:shd w:val="clear" w:color="auto" w:fill="CCFFCC"/>
          </w:tcPr>
          <w:p w14:paraId="325E1B17" w14:textId="08844A1F" w:rsidR="00D86992" w:rsidRPr="005808BA" w:rsidRDefault="00DB6CFB"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1</w:t>
            </w:r>
            <w:r w:rsidR="00B84ED1">
              <w:rPr>
                <w:rFonts w:ascii="Calibri" w:eastAsia="SimSun" w:hAnsi="Calibri" w:cs="Times New Roman"/>
                <w:b/>
                <w:bCs/>
                <w:sz w:val="18"/>
                <w:szCs w:val="18"/>
                <w:lang w:val="en-US" w:eastAsia="ru-RU"/>
              </w:rPr>
              <w:t>4</w:t>
            </w:r>
            <w:r w:rsidR="0030743D">
              <w:rPr>
                <w:rFonts w:ascii="Calibri" w:eastAsia="SimSun" w:hAnsi="Calibri" w:cs="Times New Roman"/>
                <w:b/>
                <w:bCs/>
                <w:sz w:val="18"/>
                <w:szCs w:val="18"/>
                <w:lang w:val="en-US" w:eastAsia="ru-RU"/>
              </w:rPr>
              <w:t>4,</w:t>
            </w:r>
            <w:r>
              <w:rPr>
                <w:rFonts w:ascii="Calibri" w:eastAsia="SimSun" w:hAnsi="Calibri" w:cs="Times New Roman"/>
                <w:b/>
                <w:bCs/>
                <w:sz w:val="18"/>
                <w:szCs w:val="18"/>
                <w:lang w:val="en-US" w:eastAsia="ru-RU"/>
              </w:rPr>
              <w:t>000</w:t>
            </w:r>
          </w:p>
        </w:tc>
        <w:tc>
          <w:tcPr>
            <w:tcW w:w="1170" w:type="dxa"/>
            <w:tcBorders>
              <w:top w:val="single" w:sz="4" w:space="0" w:color="auto"/>
              <w:left w:val="nil"/>
              <w:bottom w:val="single" w:sz="4" w:space="0" w:color="auto"/>
              <w:right w:val="single" w:sz="4" w:space="0" w:color="auto"/>
            </w:tcBorders>
            <w:shd w:val="clear" w:color="auto" w:fill="CCFFCC"/>
          </w:tcPr>
          <w:p w14:paraId="73F9B8CA" w14:textId="11F82E00" w:rsidR="00D86992" w:rsidRPr="005808BA" w:rsidRDefault="00B84ED1" w:rsidP="00AA15F8">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2</w:t>
            </w:r>
            <w:r w:rsidR="0030743D">
              <w:rPr>
                <w:rFonts w:ascii="Calibri" w:eastAsia="SimSun" w:hAnsi="Calibri" w:cs="Times New Roman"/>
                <w:b/>
                <w:bCs/>
                <w:sz w:val="18"/>
                <w:szCs w:val="18"/>
                <w:lang w:val="en-US" w:eastAsia="ru-RU"/>
              </w:rPr>
              <w:t>6</w:t>
            </w:r>
            <w:r>
              <w:rPr>
                <w:rFonts w:ascii="Calibri" w:eastAsia="SimSun" w:hAnsi="Calibri" w:cs="Times New Roman"/>
                <w:b/>
                <w:bCs/>
                <w:sz w:val="18"/>
                <w:szCs w:val="18"/>
                <w:lang w:val="en-US" w:eastAsia="ru-RU"/>
              </w:rPr>
              <w:t>,</w:t>
            </w:r>
            <w:r w:rsidR="00CF4664">
              <w:rPr>
                <w:rFonts w:ascii="Calibri" w:eastAsia="SimSun" w:hAnsi="Calibri" w:cs="Times New Roman"/>
                <w:b/>
                <w:bCs/>
                <w:sz w:val="18"/>
                <w:szCs w:val="18"/>
                <w:lang w:val="en-US" w:eastAsia="ru-RU"/>
              </w:rPr>
              <w:t>000</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F42169F" w14:textId="614A21A6" w:rsidR="00D86992" w:rsidRPr="005808BA" w:rsidRDefault="00D86992" w:rsidP="005808BA">
            <w:pPr>
              <w:spacing w:after="0" w:line="240" w:lineRule="auto"/>
              <w:jc w:val="center"/>
              <w:rPr>
                <w:rFonts w:ascii="Calibri" w:eastAsia="SimSun" w:hAnsi="Calibri" w:cs="Times New Roman"/>
                <w:b/>
                <w:bCs/>
                <w:sz w:val="18"/>
                <w:szCs w:val="18"/>
                <w:lang w:val="en-US" w:eastAsia="ru-RU"/>
              </w:rPr>
            </w:pPr>
          </w:p>
        </w:tc>
      </w:tr>
      <w:tr w:rsidR="00DB6CFB" w:rsidRPr="005808BA" w14:paraId="4C50F267" w14:textId="77777777" w:rsidTr="00DB6CFB">
        <w:tc>
          <w:tcPr>
            <w:tcW w:w="8640"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C5695CC" w14:textId="77777777" w:rsidR="00D86992" w:rsidRPr="005808BA" w:rsidRDefault="00D86992" w:rsidP="005808BA">
            <w:pPr>
              <w:spacing w:after="0" w:line="240" w:lineRule="auto"/>
              <w:jc w:val="both"/>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TOTAL ACTIVITY 1 (Comp 1)</w:t>
            </w:r>
          </w:p>
        </w:tc>
        <w:tc>
          <w:tcPr>
            <w:tcW w:w="1260" w:type="dxa"/>
            <w:tcBorders>
              <w:top w:val="nil"/>
              <w:left w:val="nil"/>
              <w:bottom w:val="single" w:sz="4" w:space="0" w:color="auto"/>
              <w:right w:val="single" w:sz="4" w:space="0" w:color="auto"/>
            </w:tcBorders>
            <w:shd w:val="clear" w:color="000000" w:fill="C0C0C0"/>
          </w:tcPr>
          <w:p w14:paraId="50BDB735" w14:textId="7CD7B42F" w:rsidR="00D86992" w:rsidRPr="005808BA" w:rsidRDefault="00DB6CFB"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20</w:t>
            </w:r>
            <w:r w:rsidRPr="005808BA">
              <w:rPr>
                <w:rFonts w:ascii="Calibri" w:eastAsia="SimSun" w:hAnsi="Calibri" w:cs="Times New Roman"/>
                <w:b/>
                <w:bCs/>
                <w:sz w:val="18"/>
                <w:szCs w:val="18"/>
                <w:lang w:val="en-US" w:eastAsia="ru-RU"/>
              </w:rPr>
              <w:t>0</w:t>
            </w:r>
            <w:r w:rsidR="00D86992" w:rsidRPr="005808BA">
              <w:rPr>
                <w:rFonts w:ascii="Calibri" w:eastAsia="SimSun" w:hAnsi="Calibri" w:cs="Times New Roman"/>
                <w:b/>
                <w:bCs/>
                <w:sz w:val="18"/>
                <w:szCs w:val="18"/>
                <w:lang w:val="en-US" w:eastAsia="ru-RU"/>
              </w:rPr>
              <w:t>,000</w:t>
            </w:r>
          </w:p>
        </w:tc>
        <w:tc>
          <w:tcPr>
            <w:tcW w:w="1080" w:type="dxa"/>
            <w:gridSpan w:val="2"/>
            <w:tcBorders>
              <w:top w:val="nil"/>
              <w:left w:val="nil"/>
              <w:bottom w:val="single" w:sz="4" w:space="0" w:color="auto"/>
              <w:right w:val="single" w:sz="4" w:space="0" w:color="auto"/>
            </w:tcBorders>
            <w:shd w:val="clear" w:color="000000" w:fill="C0C0C0"/>
          </w:tcPr>
          <w:p w14:paraId="192A4F16" w14:textId="7A28598B" w:rsidR="00D86992" w:rsidRPr="005808BA" w:rsidRDefault="00CF4664"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30</w:t>
            </w:r>
            <w:r w:rsidR="005C2AFA">
              <w:rPr>
                <w:rFonts w:ascii="Calibri" w:eastAsia="SimSun" w:hAnsi="Calibri" w:cs="Times New Roman"/>
                <w:b/>
                <w:bCs/>
                <w:sz w:val="18"/>
                <w:szCs w:val="18"/>
                <w:lang w:val="en-US" w:eastAsia="ru-RU"/>
              </w:rPr>
              <w:t>,</w:t>
            </w:r>
            <w:r>
              <w:rPr>
                <w:rFonts w:ascii="Calibri" w:eastAsia="SimSun" w:hAnsi="Calibri" w:cs="Times New Roman"/>
                <w:b/>
                <w:bCs/>
                <w:sz w:val="18"/>
                <w:szCs w:val="18"/>
                <w:lang w:val="en-US" w:eastAsia="ru-RU"/>
              </w:rPr>
              <w:t>000</w:t>
            </w:r>
          </w:p>
        </w:tc>
        <w:tc>
          <w:tcPr>
            <w:tcW w:w="1170" w:type="dxa"/>
            <w:tcBorders>
              <w:top w:val="nil"/>
              <w:left w:val="nil"/>
              <w:bottom w:val="single" w:sz="4" w:space="0" w:color="auto"/>
              <w:right w:val="single" w:sz="4" w:space="0" w:color="auto"/>
            </w:tcBorders>
            <w:shd w:val="clear" w:color="000000" w:fill="C0C0C0"/>
          </w:tcPr>
          <w:p w14:paraId="0728C8E0" w14:textId="79002E0B" w:rsidR="00D86992" w:rsidRPr="005808BA" w:rsidRDefault="00DB6CFB"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1</w:t>
            </w:r>
            <w:r w:rsidR="00B84ED1">
              <w:rPr>
                <w:rFonts w:ascii="Calibri" w:eastAsia="SimSun" w:hAnsi="Calibri" w:cs="Times New Roman"/>
                <w:b/>
                <w:bCs/>
                <w:sz w:val="18"/>
                <w:szCs w:val="18"/>
                <w:lang w:val="en-US" w:eastAsia="ru-RU"/>
              </w:rPr>
              <w:t>4</w:t>
            </w:r>
            <w:r w:rsidR="0030743D">
              <w:rPr>
                <w:rFonts w:ascii="Calibri" w:eastAsia="SimSun" w:hAnsi="Calibri" w:cs="Times New Roman"/>
                <w:b/>
                <w:bCs/>
                <w:sz w:val="18"/>
                <w:szCs w:val="18"/>
                <w:lang w:val="en-US" w:eastAsia="ru-RU"/>
              </w:rPr>
              <w:t>4,</w:t>
            </w:r>
            <w:r>
              <w:rPr>
                <w:rFonts w:ascii="Calibri" w:eastAsia="SimSun" w:hAnsi="Calibri" w:cs="Times New Roman"/>
                <w:b/>
                <w:bCs/>
                <w:sz w:val="18"/>
                <w:szCs w:val="18"/>
                <w:lang w:val="en-US" w:eastAsia="ru-RU"/>
              </w:rPr>
              <w:t>000</w:t>
            </w:r>
          </w:p>
        </w:tc>
        <w:tc>
          <w:tcPr>
            <w:tcW w:w="1170" w:type="dxa"/>
            <w:tcBorders>
              <w:top w:val="single" w:sz="4" w:space="0" w:color="auto"/>
              <w:left w:val="nil"/>
              <w:bottom w:val="single" w:sz="4" w:space="0" w:color="auto"/>
              <w:right w:val="single" w:sz="4" w:space="0" w:color="auto"/>
            </w:tcBorders>
            <w:shd w:val="clear" w:color="000000" w:fill="C0C0C0"/>
          </w:tcPr>
          <w:p w14:paraId="18C3C386" w14:textId="0D424F06" w:rsidR="00D86992" w:rsidRPr="00AA15F8" w:rsidRDefault="00B84ED1" w:rsidP="00AA15F8">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2</w:t>
            </w:r>
            <w:r w:rsidR="0030743D">
              <w:rPr>
                <w:rFonts w:ascii="Calibri" w:eastAsia="SimSun" w:hAnsi="Calibri" w:cs="Times New Roman"/>
                <w:b/>
                <w:bCs/>
                <w:sz w:val="18"/>
                <w:szCs w:val="18"/>
                <w:lang w:val="en-US" w:eastAsia="ru-RU"/>
              </w:rPr>
              <w:t>6</w:t>
            </w:r>
            <w:r>
              <w:rPr>
                <w:rFonts w:ascii="Calibri" w:eastAsia="SimSun" w:hAnsi="Calibri" w:cs="Times New Roman"/>
                <w:b/>
                <w:bCs/>
                <w:sz w:val="18"/>
                <w:szCs w:val="18"/>
                <w:lang w:val="en-US" w:eastAsia="ru-RU"/>
              </w:rPr>
              <w:t>,</w:t>
            </w:r>
            <w:r w:rsidR="00CF4664">
              <w:rPr>
                <w:rFonts w:ascii="Calibri" w:eastAsia="SimSun" w:hAnsi="Calibri" w:cs="Times New Roman"/>
                <w:b/>
                <w:bCs/>
                <w:sz w:val="18"/>
                <w:szCs w:val="18"/>
                <w:lang w:val="en-US" w:eastAsia="ru-RU"/>
              </w:rPr>
              <w:t>000</w:t>
            </w:r>
          </w:p>
        </w:tc>
        <w:tc>
          <w:tcPr>
            <w:tcW w:w="1530" w:type="dxa"/>
            <w:tcBorders>
              <w:top w:val="nil"/>
              <w:left w:val="single" w:sz="4" w:space="0" w:color="auto"/>
              <w:bottom w:val="single" w:sz="4" w:space="0" w:color="auto"/>
              <w:right w:val="single" w:sz="4" w:space="0" w:color="auto"/>
            </w:tcBorders>
            <w:shd w:val="clear" w:color="000000" w:fill="C0C0C0"/>
          </w:tcPr>
          <w:p w14:paraId="42AEF099" w14:textId="4E331544" w:rsidR="00D86992" w:rsidRPr="005808BA" w:rsidRDefault="00D86992" w:rsidP="005808BA">
            <w:pPr>
              <w:spacing w:after="0" w:line="240" w:lineRule="auto"/>
              <w:jc w:val="right"/>
              <w:rPr>
                <w:rFonts w:ascii="Calibri" w:eastAsia="SimSun" w:hAnsi="Calibri" w:cs="Times New Roman"/>
                <w:b/>
                <w:bCs/>
                <w:sz w:val="18"/>
                <w:szCs w:val="18"/>
                <w:lang w:val="ru-RU" w:eastAsia="ru-RU"/>
              </w:rPr>
            </w:pPr>
          </w:p>
        </w:tc>
      </w:tr>
      <w:tr w:rsidR="00CA49D0" w:rsidRPr="005808BA" w14:paraId="3D32B193" w14:textId="77777777" w:rsidTr="00AA15F8">
        <w:tc>
          <w:tcPr>
            <w:tcW w:w="1913" w:type="dxa"/>
            <w:vMerge w:val="restart"/>
            <w:tcBorders>
              <w:top w:val="nil"/>
              <w:left w:val="single" w:sz="4" w:space="0" w:color="auto"/>
              <w:right w:val="single" w:sz="4" w:space="0" w:color="auto"/>
            </w:tcBorders>
            <w:shd w:val="clear" w:color="auto" w:fill="auto"/>
            <w:noWrap/>
            <w:vAlign w:val="center"/>
            <w:hideMark/>
          </w:tcPr>
          <w:p w14:paraId="58702492" w14:textId="43DE599E" w:rsidR="00CA49D0" w:rsidRPr="005808BA" w:rsidRDefault="00CA49D0" w:rsidP="00AA15F8">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Component</w:t>
            </w:r>
            <w:r>
              <w:rPr>
                <w:rFonts w:ascii="Calibri" w:eastAsia="SimSun" w:hAnsi="Calibri" w:cs="Times New Roman"/>
                <w:sz w:val="18"/>
                <w:szCs w:val="18"/>
                <w:lang w:val="en-US" w:eastAsia="ru-RU"/>
              </w:rPr>
              <w:t xml:space="preserve"> </w:t>
            </w:r>
            <w:r w:rsidRPr="005808BA">
              <w:rPr>
                <w:rFonts w:ascii="Calibri" w:eastAsia="SimSun" w:hAnsi="Calibri" w:cs="Times New Roman"/>
                <w:sz w:val="18"/>
                <w:szCs w:val="18"/>
                <w:lang w:val="en-US" w:eastAsia="ru-RU"/>
              </w:rPr>
              <w:t>2</w:t>
            </w:r>
            <w:r w:rsidRPr="00364C06">
              <w:rPr>
                <w:lang w:val="en-US"/>
              </w:rPr>
              <w:t xml:space="preserve"> </w:t>
            </w:r>
            <w:r w:rsidRPr="00A17450">
              <w:rPr>
                <w:rFonts w:ascii="Calibri" w:eastAsia="SimSun" w:hAnsi="Calibri" w:cs="Times New Roman"/>
                <w:sz w:val="18"/>
                <w:szCs w:val="18"/>
                <w:lang w:val="en-US" w:eastAsia="ru-RU"/>
              </w:rPr>
              <w:t>Strengthen institutional capacities to achieve the reduction of emissions and releases of, and exposure to, mercury in ASGM sector and processing, including mercury-free methods.</w:t>
            </w:r>
          </w:p>
        </w:tc>
        <w:tc>
          <w:tcPr>
            <w:tcW w:w="984" w:type="dxa"/>
            <w:vMerge w:val="restart"/>
            <w:tcBorders>
              <w:top w:val="single" w:sz="4" w:space="0" w:color="auto"/>
              <w:left w:val="nil"/>
              <w:right w:val="single" w:sz="4" w:space="0" w:color="auto"/>
            </w:tcBorders>
            <w:shd w:val="clear" w:color="auto" w:fill="auto"/>
            <w:vAlign w:val="center"/>
            <w:hideMark/>
          </w:tcPr>
          <w:p w14:paraId="6137D5FF" w14:textId="77777777" w:rsidR="00CA49D0" w:rsidRPr="005808BA" w:rsidRDefault="00CA49D0" w:rsidP="00CA49D0">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NIMOS</w:t>
            </w:r>
          </w:p>
        </w:tc>
        <w:tc>
          <w:tcPr>
            <w:tcW w:w="810" w:type="dxa"/>
            <w:gridSpan w:val="2"/>
            <w:vMerge w:val="restart"/>
            <w:tcBorders>
              <w:top w:val="single" w:sz="4" w:space="0" w:color="auto"/>
              <w:left w:val="nil"/>
              <w:right w:val="single" w:sz="4" w:space="0" w:color="auto"/>
            </w:tcBorders>
            <w:shd w:val="clear" w:color="auto" w:fill="auto"/>
            <w:vAlign w:val="center"/>
            <w:hideMark/>
          </w:tcPr>
          <w:p w14:paraId="36197320"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62000</w:t>
            </w:r>
          </w:p>
        </w:tc>
        <w:tc>
          <w:tcPr>
            <w:tcW w:w="906" w:type="dxa"/>
            <w:vMerge w:val="restart"/>
            <w:tcBorders>
              <w:top w:val="single" w:sz="4" w:space="0" w:color="auto"/>
              <w:left w:val="nil"/>
              <w:right w:val="single" w:sz="4" w:space="0" w:color="auto"/>
            </w:tcBorders>
            <w:shd w:val="clear" w:color="auto" w:fill="auto"/>
            <w:noWrap/>
            <w:vAlign w:val="center"/>
            <w:hideMark/>
          </w:tcPr>
          <w:p w14:paraId="09626427"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GEF</w:t>
            </w:r>
          </w:p>
        </w:tc>
        <w:tc>
          <w:tcPr>
            <w:tcW w:w="990" w:type="dxa"/>
            <w:tcBorders>
              <w:top w:val="single" w:sz="4" w:space="0" w:color="auto"/>
              <w:left w:val="nil"/>
              <w:bottom w:val="single" w:sz="4" w:space="0" w:color="auto"/>
              <w:right w:val="single" w:sz="4" w:space="0" w:color="auto"/>
            </w:tcBorders>
            <w:shd w:val="clear" w:color="auto" w:fill="auto"/>
            <w:noWrap/>
            <w:hideMark/>
          </w:tcPr>
          <w:p w14:paraId="1EA8D143"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71200</w:t>
            </w:r>
          </w:p>
        </w:tc>
        <w:tc>
          <w:tcPr>
            <w:tcW w:w="3037" w:type="dxa"/>
            <w:gridSpan w:val="2"/>
            <w:tcBorders>
              <w:top w:val="single" w:sz="4" w:space="0" w:color="auto"/>
              <w:left w:val="nil"/>
              <w:bottom w:val="single" w:sz="4" w:space="0" w:color="auto"/>
              <w:right w:val="single" w:sz="4" w:space="0" w:color="auto"/>
            </w:tcBorders>
            <w:shd w:val="clear" w:color="auto" w:fill="auto"/>
            <w:noWrap/>
            <w:hideMark/>
          </w:tcPr>
          <w:p w14:paraId="4D70A771"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International Consultants</w:t>
            </w:r>
          </w:p>
        </w:tc>
        <w:tc>
          <w:tcPr>
            <w:tcW w:w="1260" w:type="dxa"/>
            <w:tcBorders>
              <w:top w:val="nil"/>
              <w:left w:val="nil"/>
              <w:bottom w:val="single" w:sz="4" w:space="0" w:color="auto"/>
              <w:right w:val="single" w:sz="4" w:space="0" w:color="auto"/>
            </w:tcBorders>
            <w:shd w:val="clear" w:color="auto" w:fill="FFFFCC"/>
            <w:noWrap/>
            <w:hideMark/>
          </w:tcPr>
          <w:p w14:paraId="75D48B6A" w14:textId="67A30741" w:rsidR="00CA49D0" w:rsidRPr="005808BA" w:rsidRDefault="005C2834"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4</w:t>
            </w:r>
            <w:r w:rsidR="00CA49D0">
              <w:rPr>
                <w:rFonts w:ascii="Calibri" w:eastAsia="SimSun" w:hAnsi="Calibri" w:cs="Times New Roman"/>
                <w:sz w:val="18"/>
                <w:szCs w:val="18"/>
                <w:lang w:val="en-US" w:eastAsia="ru-RU"/>
              </w:rPr>
              <w:t>0</w:t>
            </w:r>
            <w:r w:rsidR="00CA49D0" w:rsidRPr="005808BA">
              <w:rPr>
                <w:rFonts w:ascii="Calibri" w:eastAsia="SimSun" w:hAnsi="Calibri" w:cs="Times New Roman"/>
                <w:sz w:val="18"/>
                <w:szCs w:val="18"/>
                <w:lang w:val="en-US" w:eastAsia="ru-RU"/>
              </w:rPr>
              <w:t>,000</w:t>
            </w:r>
          </w:p>
        </w:tc>
        <w:tc>
          <w:tcPr>
            <w:tcW w:w="1080" w:type="dxa"/>
            <w:gridSpan w:val="2"/>
            <w:tcBorders>
              <w:top w:val="nil"/>
              <w:left w:val="nil"/>
              <w:bottom w:val="single" w:sz="8" w:space="0" w:color="auto"/>
              <w:right w:val="single" w:sz="8" w:space="0" w:color="auto"/>
            </w:tcBorders>
            <w:shd w:val="clear" w:color="auto" w:fill="auto"/>
            <w:noWrap/>
            <w:vAlign w:val="center"/>
          </w:tcPr>
          <w:p w14:paraId="75F55AE4" w14:textId="4420E454" w:rsidR="00CA49D0" w:rsidRPr="005808BA" w:rsidRDefault="00CA49D0" w:rsidP="00AA15F8">
            <w:pPr>
              <w:spacing w:after="0" w:line="240" w:lineRule="auto"/>
              <w:ind w:right="100"/>
              <w:jc w:val="right"/>
              <w:rPr>
                <w:rFonts w:ascii="Calibri" w:eastAsia="SimSun" w:hAnsi="Calibri" w:cs="Times New Roman"/>
                <w:sz w:val="18"/>
                <w:szCs w:val="18"/>
                <w:lang w:val="en-US" w:eastAsia="ru-RU"/>
              </w:rPr>
            </w:pPr>
            <w:r>
              <w:rPr>
                <w:rFonts w:ascii="Calibri" w:hAnsi="Calibri"/>
                <w:color w:val="000000"/>
                <w:sz w:val="18"/>
                <w:szCs w:val="18"/>
              </w:rPr>
              <w:t>4,000</w:t>
            </w:r>
          </w:p>
        </w:tc>
        <w:tc>
          <w:tcPr>
            <w:tcW w:w="1170" w:type="dxa"/>
            <w:tcBorders>
              <w:top w:val="nil"/>
              <w:left w:val="nil"/>
              <w:bottom w:val="single" w:sz="8" w:space="0" w:color="auto"/>
              <w:right w:val="single" w:sz="8" w:space="0" w:color="auto"/>
            </w:tcBorders>
            <w:shd w:val="clear" w:color="auto" w:fill="auto"/>
            <w:noWrap/>
            <w:vAlign w:val="center"/>
          </w:tcPr>
          <w:p w14:paraId="60ACC08E" w14:textId="3CE453DE"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31,000</w:t>
            </w:r>
          </w:p>
        </w:tc>
        <w:tc>
          <w:tcPr>
            <w:tcW w:w="1170" w:type="dxa"/>
            <w:tcBorders>
              <w:top w:val="single" w:sz="8" w:space="0" w:color="auto"/>
              <w:left w:val="nil"/>
              <w:bottom w:val="single" w:sz="8" w:space="0" w:color="auto"/>
              <w:right w:val="single" w:sz="8" w:space="0" w:color="auto"/>
            </w:tcBorders>
            <w:shd w:val="clear" w:color="auto" w:fill="auto"/>
            <w:vAlign w:val="center"/>
          </w:tcPr>
          <w:p w14:paraId="48D53906" w14:textId="0F182460"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 xml:space="preserve">         5,000 </w:t>
            </w:r>
          </w:p>
        </w:tc>
        <w:tc>
          <w:tcPr>
            <w:tcW w:w="1530" w:type="dxa"/>
            <w:tcBorders>
              <w:top w:val="nil"/>
              <w:left w:val="single" w:sz="4" w:space="0" w:color="auto"/>
              <w:bottom w:val="single" w:sz="4" w:space="0" w:color="auto"/>
              <w:right w:val="single" w:sz="4" w:space="0" w:color="auto"/>
            </w:tcBorders>
          </w:tcPr>
          <w:p w14:paraId="5E63FECC" w14:textId="29309BC9"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A</w:t>
            </w:r>
          </w:p>
        </w:tc>
      </w:tr>
      <w:tr w:rsidR="00CA49D0" w:rsidRPr="005808BA" w14:paraId="091378AC" w14:textId="77777777" w:rsidTr="00AA15F8">
        <w:tc>
          <w:tcPr>
            <w:tcW w:w="1913" w:type="dxa"/>
            <w:vMerge/>
            <w:tcBorders>
              <w:top w:val="nil"/>
              <w:left w:val="single" w:sz="4" w:space="0" w:color="auto"/>
              <w:right w:val="single" w:sz="4" w:space="0" w:color="auto"/>
            </w:tcBorders>
            <w:shd w:val="clear" w:color="auto" w:fill="auto"/>
            <w:noWrap/>
            <w:vAlign w:val="center"/>
          </w:tcPr>
          <w:p w14:paraId="5CD32998"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shd w:val="clear" w:color="auto" w:fill="auto"/>
            <w:vAlign w:val="center"/>
          </w:tcPr>
          <w:p w14:paraId="2BEF9A37" w14:textId="77777777" w:rsidR="00CA49D0" w:rsidRPr="005808BA" w:rsidRDefault="00CA49D0" w:rsidP="00CA49D0">
            <w:pPr>
              <w:spacing w:after="0" w:line="240" w:lineRule="auto"/>
              <w:jc w:val="center"/>
              <w:rPr>
                <w:rFonts w:ascii="Calibri" w:eastAsia="SimSun" w:hAnsi="Calibri" w:cs="Times New Roman"/>
                <w:sz w:val="18"/>
                <w:szCs w:val="18"/>
                <w:lang w:val="en-US" w:eastAsia="ru-RU"/>
              </w:rPr>
            </w:pPr>
          </w:p>
        </w:tc>
        <w:tc>
          <w:tcPr>
            <w:tcW w:w="810" w:type="dxa"/>
            <w:gridSpan w:val="2"/>
            <w:vMerge/>
            <w:tcBorders>
              <w:left w:val="nil"/>
              <w:right w:val="single" w:sz="4" w:space="0" w:color="auto"/>
            </w:tcBorders>
            <w:shd w:val="clear" w:color="auto" w:fill="auto"/>
            <w:vAlign w:val="center"/>
          </w:tcPr>
          <w:p w14:paraId="21FBFC56"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shd w:val="clear" w:color="auto" w:fill="auto"/>
            <w:noWrap/>
            <w:vAlign w:val="center"/>
          </w:tcPr>
          <w:p w14:paraId="5B0C263D"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shd w:val="clear" w:color="auto" w:fill="auto"/>
            <w:noWrap/>
          </w:tcPr>
          <w:p w14:paraId="7C23D86F"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71300</w:t>
            </w:r>
          </w:p>
        </w:tc>
        <w:tc>
          <w:tcPr>
            <w:tcW w:w="3037" w:type="dxa"/>
            <w:gridSpan w:val="2"/>
            <w:tcBorders>
              <w:top w:val="single" w:sz="4" w:space="0" w:color="auto"/>
              <w:left w:val="nil"/>
              <w:bottom w:val="single" w:sz="4" w:space="0" w:color="auto"/>
              <w:right w:val="single" w:sz="4" w:space="0" w:color="auto"/>
            </w:tcBorders>
            <w:shd w:val="clear" w:color="auto" w:fill="auto"/>
            <w:noWrap/>
          </w:tcPr>
          <w:p w14:paraId="06331835"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Local Consultants</w:t>
            </w:r>
          </w:p>
        </w:tc>
        <w:tc>
          <w:tcPr>
            <w:tcW w:w="1260" w:type="dxa"/>
            <w:tcBorders>
              <w:top w:val="nil"/>
              <w:left w:val="nil"/>
              <w:bottom w:val="single" w:sz="4" w:space="0" w:color="auto"/>
              <w:right w:val="single" w:sz="4" w:space="0" w:color="auto"/>
            </w:tcBorders>
            <w:shd w:val="clear" w:color="auto" w:fill="FFFFCC"/>
            <w:noWrap/>
          </w:tcPr>
          <w:p w14:paraId="713462B9" w14:textId="55C4ACEA"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70</w:t>
            </w:r>
            <w:r w:rsidRPr="005808BA">
              <w:rPr>
                <w:rFonts w:ascii="Calibri" w:eastAsia="SimSun" w:hAnsi="Calibri" w:cs="Times New Roman"/>
                <w:sz w:val="18"/>
                <w:szCs w:val="18"/>
                <w:lang w:val="en-US" w:eastAsia="ru-RU"/>
              </w:rPr>
              <w:t>,000</w:t>
            </w:r>
          </w:p>
        </w:tc>
        <w:tc>
          <w:tcPr>
            <w:tcW w:w="1080" w:type="dxa"/>
            <w:gridSpan w:val="2"/>
            <w:tcBorders>
              <w:top w:val="nil"/>
              <w:left w:val="nil"/>
              <w:bottom w:val="single" w:sz="8" w:space="0" w:color="auto"/>
              <w:right w:val="single" w:sz="8" w:space="0" w:color="auto"/>
            </w:tcBorders>
            <w:shd w:val="clear" w:color="auto" w:fill="auto"/>
            <w:noWrap/>
            <w:vAlign w:val="center"/>
          </w:tcPr>
          <w:p w14:paraId="01BC3943" w14:textId="1E722DF6"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4,000</w:t>
            </w:r>
          </w:p>
        </w:tc>
        <w:tc>
          <w:tcPr>
            <w:tcW w:w="1170" w:type="dxa"/>
            <w:tcBorders>
              <w:top w:val="nil"/>
              <w:left w:val="nil"/>
              <w:bottom w:val="single" w:sz="8" w:space="0" w:color="auto"/>
              <w:right w:val="single" w:sz="8" w:space="0" w:color="auto"/>
            </w:tcBorders>
            <w:shd w:val="clear" w:color="auto" w:fill="auto"/>
            <w:noWrap/>
            <w:vAlign w:val="center"/>
          </w:tcPr>
          <w:p w14:paraId="2CED821A" w14:textId="1D5A06B1"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55,000</w:t>
            </w:r>
          </w:p>
        </w:tc>
        <w:tc>
          <w:tcPr>
            <w:tcW w:w="1170" w:type="dxa"/>
            <w:tcBorders>
              <w:top w:val="nil"/>
              <w:left w:val="nil"/>
              <w:bottom w:val="single" w:sz="8" w:space="0" w:color="auto"/>
              <w:right w:val="single" w:sz="8" w:space="0" w:color="auto"/>
            </w:tcBorders>
            <w:shd w:val="clear" w:color="auto" w:fill="auto"/>
            <w:vAlign w:val="center"/>
          </w:tcPr>
          <w:p w14:paraId="1A057E42" w14:textId="2C3833B8"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 xml:space="preserve">       11,000 </w:t>
            </w:r>
          </w:p>
        </w:tc>
        <w:tc>
          <w:tcPr>
            <w:tcW w:w="1530" w:type="dxa"/>
            <w:tcBorders>
              <w:top w:val="nil"/>
              <w:left w:val="single" w:sz="4" w:space="0" w:color="auto"/>
              <w:bottom w:val="single" w:sz="4" w:space="0" w:color="auto"/>
              <w:right w:val="single" w:sz="4" w:space="0" w:color="auto"/>
            </w:tcBorders>
          </w:tcPr>
          <w:p w14:paraId="2EA4F338" w14:textId="36F96E33"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B</w:t>
            </w:r>
          </w:p>
        </w:tc>
      </w:tr>
      <w:tr w:rsidR="00CA49D0" w:rsidRPr="005808BA" w14:paraId="4A00D429" w14:textId="77777777" w:rsidTr="00AA15F8">
        <w:tc>
          <w:tcPr>
            <w:tcW w:w="1913" w:type="dxa"/>
            <w:vMerge/>
            <w:tcBorders>
              <w:left w:val="single" w:sz="4" w:space="0" w:color="auto"/>
              <w:right w:val="single" w:sz="4" w:space="0" w:color="auto"/>
            </w:tcBorders>
            <w:noWrap/>
            <w:vAlign w:val="center"/>
            <w:hideMark/>
          </w:tcPr>
          <w:p w14:paraId="4B092358"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hideMark/>
          </w:tcPr>
          <w:p w14:paraId="389DBE09"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hideMark/>
          </w:tcPr>
          <w:p w14:paraId="16903BA9"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hideMark/>
          </w:tcPr>
          <w:p w14:paraId="364D7473"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54792024"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71600</w:t>
            </w:r>
          </w:p>
        </w:tc>
        <w:tc>
          <w:tcPr>
            <w:tcW w:w="3037" w:type="dxa"/>
            <w:gridSpan w:val="2"/>
            <w:tcBorders>
              <w:top w:val="single" w:sz="4" w:space="0" w:color="auto"/>
              <w:left w:val="nil"/>
              <w:bottom w:val="single" w:sz="4" w:space="0" w:color="auto"/>
              <w:right w:val="single" w:sz="4" w:space="0" w:color="auto"/>
            </w:tcBorders>
            <w:noWrap/>
          </w:tcPr>
          <w:p w14:paraId="45D2E00B"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Travel</w:t>
            </w:r>
          </w:p>
        </w:tc>
        <w:tc>
          <w:tcPr>
            <w:tcW w:w="1260" w:type="dxa"/>
            <w:tcBorders>
              <w:top w:val="nil"/>
              <w:left w:val="nil"/>
              <w:bottom w:val="single" w:sz="4" w:space="0" w:color="auto"/>
              <w:right w:val="single" w:sz="4" w:space="0" w:color="auto"/>
            </w:tcBorders>
            <w:shd w:val="clear" w:color="auto" w:fill="FFFFCC"/>
            <w:noWrap/>
            <w:hideMark/>
          </w:tcPr>
          <w:p w14:paraId="45E9CD1A" w14:textId="745A2885" w:rsidR="00CA49D0" w:rsidRPr="005808BA" w:rsidRDefault="00E51413"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4</w:t>
            </w:r>
            <w:r w:rsidR="00CA49D0">
              <w:rPr>
                <w:rFonts w:ascii="Calibri" w:eastAsia="SimSun" w:hAnsi="Calibri" w:cs="Times New Roman"/>
                <w:sz w:val="18"/>
                <w:szCs w:val="18"/>
                <w:lang w:val="en-US" w:eastAsia="ru-RU"/>
              </w:rPr>
              <w:t>5</w:t>
            </w:r>
            <w:r w:rsidR="00CA49D0" w:rsidRPr="005808BA">
              <w:rPr>
                <w:rFonts w:ascii="Calibri" w:eastAsia="SimSun" w:hAnsi="Calibri" w:cs="Times New Roman"/>
                <w:sz w:val="18"/>
                <w:szCs w:val="18"/>
                <w:lang w:val="en-US" w:eastAsia="ru-RU"/>
              </w:rPr>
              <w:t>,000</w:t>
            </w:r>
          </w:p>
        </w:tc>
        <w:tc>
          <w:tcPr>
            <w:tcW w:w="1080" w:type="dxa"/>
            <w:gridSpan w:val="2"/>
            <w:tcBorders>
              <w:top w:val="nil"/>
              <w:left w:val="nil"/>
              <w:bottom w:val="single" w:sz="8" w:space="0" w:color="auto"/>
              <w:right w:val="single" w:sz="8" w:space="0" w:color="auto"/>
            </w:tcBorders>
            <w:shd w:val="clear" w:color="auto" w:fill="auto"/>
            <w:noWrap/>
            <w:vAlign w:val="center"/>
          </w:tcPr>
          <w:p w14:paraId="356E46BF" w14:textId="21BF835A"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7,000</w:t>
            </w:r>
          </w:p>
        </w:tc>
        <w:tc>
          <w:tcPr>
            <w:tcW w:w="1170" w:type="dxa"/>
            <w:tcBorders>
              <w:top w:val="nil"/>
              <w:left w:val="nil"/>
              <w:bottom w:val="single" w:sz="8" w:space="0" w:color="auto"/>
              <w:right w:val="single" w:sz="8" w:space="0" w:color="auto"/>
            </w:tcBorders>
            <w:shd w:val="clear" w:color="auto" w:fill="auto"/>
            <w:noWrap/>
            <w:vAlign w:val="center"/>
          </w:tcPr>
          <w:p w14:paraId="629CE13B" w14:textId="4B1EDF5F" w:rsidR="00CA49D0" w:rsidRPr="005808BA" w:rsidRDefault="00CA49D0" w:rsidP="00CA49D0">
            <w:pPr>
              <w:spacing w:after="0" w:line="240" w:lineRule="auto"/>
              <w:jc w:val="right"/>
              <w:rPr>
                <w:rFonts w:ascii="Calibri" w:eastAsia="SimSun" w:hAnsi="Calibri" w:cs="Times New Roman"/>
                <w:sz w:val="18"/>
                <w:szCs w:val="18"/>
                <w:lang w:val="es-PA" w:eastAsia="ru-RU"/>
              </w:rPr>
            </w:pPr>
            <w:r>
              <w:rPr>
                <w:rFonts w:ascii="Calibri" w:hAnsi="Calibri"/>
                <w:color w:val="000000"/>
                <w:sz w:val="18"/>
                <w:szCs w:val="18"/>
                <w:lang w:val="es-PA"/>
              </w:rPr>
              <w:t>31,000</w:t>
            </w:r>
          </w:p>
        </w:tc>
        <w:tc>
          <w:tcPr>
            <w:tcW w:w="1170" w:type="dxa"/>
            <w:tcBorders>
              <w:top w:val="nil"/>
              <w:left w:val="nil"/>
              <w:bottom w:val="single" w:sz="8" w:space="0" w:color="auto"/>
              <w:right w:val="single" w:sz="8" w:space="0" w:color="auto"/>
            </w:tcBorders>
            <w:shd w:val="clear" w:color="auto" w:fill="auto"/>
            <w:vAlign w:val="center"/>
          </w:tcPr>
          <w:p w14:paraId="4F76EA3F" w14:textId="698E84F8"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7,000</w:t>
            </w:r>
          </w:p>
        </w:tc>
        <w:tc>
          <w:tcPr>
            <w:tcW w:w="1530" w:type="dxa"/>
            <w:tcBorders>
              <w:top w:val="nil"/>
              <w:left w:val="single" w:sz="4" w:space="0" w:color="auto"/>
              <w:bottom w:val="single" w:sz="4" w:space="0" w:color="auto"/>
              <w:right w:val="single" w:sz="4" w:space="0" w:color="auto"/>
            </w:tcBorders>
          </w:tcPr>
          <w:p w14:paraId="37797817" w14:textId="5FC97ABF"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C</w:t>
            </w:r>
          </w:p>
        </w:tc>
      </w:tr>
      <w:tr w:rsidR="00CA49D0" w:rsidRPr="005808BA" w14:paraId="29D4EAC2" w14:textId="77777777" w:rsidTr="00AA15F8">
        <w:tc>
          <w:tcPr>
            <w:tcW w:w="1913" w:type="dxa"/>
            <w:vMerge/>
            <w:tcBorders>
              <w:left w:val="single" w:sz="4" w:space="0" w:color="auto"/>
              <w:right w:val="single" w:sz="4" w:space="0" w:color="auto"/>
            </w:tcBorders>
            <w:noWrap/>
            <w:vAlign w:val="center"/>
          </w:tcPr>
          <w:p w14:paraId="1CD7FF84"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tcPr>
          <w:p w14:paraId="25721D88"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tcPr>
          <w:p w14:paraId="25E3B530"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tcPr>
          <w:p w14:paraId="2BAAB08E"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4E440151"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72100</w:t>
            </w:r>
          </w:p>
        </w:tc>
        <w:tc>
          <w:tcPr>
            <w:tcW w:w="3037" w:type="dxa"/>
            <w:gridSpan w:val="2"/>
            <w:tcBorders>
              <w:top w:val="single" w:sz="4" w:space="0" w:color="auto"/>
              <w:left w:val="nil"/>
              <w:bottom w:val="single" w:sz="4" w:space="0" w:color="auto"/>
              <w:right w:val="single" w:sz="4" w:space="0" w:color="auto"/>
            </w:tcBorders>
            <w:noWrap/>
          </w:tcPr>
          <w:p w14:paraId="21F35014"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Contractual Services-Companies</w:t>
            </w:r>
          </w:p>
        </w:tc>
        <w:tc>
          <w:tcPr>
            <w:tcW w:w="1260" w:type="dxa"/>
            <w:tcBorders>
              <w:top w:val="nil"/>
              <w:left w:val="nil"/>
              <w:bottom w:val="single" w:sz="4" w:space="0" w:color="auto"/>
              <w:right w:val="single" w:sz="4" w:space="0" w:color="auto"/>
            </w:tcBorders>
            <w:shd w:val="clear" w:color="auto" w:fill="FFFFCC"/>
            <w:noWrap/>
          </w:tcPr>
          <w:p w14:paraId="0E53C5F7" w14:textId="41D16356" w:rsidR="00CA49D0" w:rsidRPr="005808BA" w:rsidRDefault="00E51413"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20</w:t>
            </w:r>
            <w:r w:rsidR="00CA49D0" w:rsidRPr="005808BA">
              <w:rPr>
                <w:rFonts w:ascii="Calibri" w:eastAsia="SimSun" w:hAnsi="Calibri" w:cs="Times New Roman"/>
                <w:sz w:val="18"/>
                <w:szCs w:val="18"/>
                <w:lang w:val="en-US" w:eastAsia="ru-RU"/>
              </w:rPr>
              <w:t>,000</w:t>
            </w:r>
          </w:p>
        </w:tc>
        <w:tc>
          <w:tcPr>
            <w:tcW w:w="1080" w:type="dxa"/>
            <w:gridSpan w:val="2"/>
            <w:tcBorders>
              <w:top w:val="nil"/>
              <w:left w:val="nil"/>
              <w:bottom w:val="single" w:sz="8" w:space="0" w:color="auto"/>
              <w:right w:val="single" w:sz="8" w:space="0" w:color="auto"/>
            </w:tcBorders>
            <w:shd w:val="clear" w:color="auto" w:fill="auto"/>
            <w:noWrap/>
            <w:vAlign w:val="center"/>
          </w:tcPr>
          <w:p w14:paraId="3EDE5F22" w14:textId="7A6C2AE1" w:rsidR="00CA49D0" w:rsidRPr="00364C06" w:rsidRDefault="00CA49D0" w:rsidP="00CA49D0">
            <w:pPr>
              <w:spacing w:after="0" w:line="240" w:lineRule="auto"/>
              <w:jc w:val="right"/>
              <w:rPr>
                <w:rFonts w:ascii="Calibri" w:eastAsia="SimSun" w:hAnsi="Calibri" w:cs="Times New Roman"/>
                <w:sz w:val="18"/>
                <w:szCs w:val="18"/>
                <w:lang w:eastAsia="ru-RU"/>
              </w:rPr>
            </w:pPr>
            <w:r>
              <w:rPr>
                <w:rFonts w:ascii="Calibri" w:hAnsi="Calibri"/>
                <w:color w:val="000000"/>
                <w:sz w:val="18"/>
                <w:szCs w:val="18"/>
              </w:rPr>
              <w:t>2,000</w:t>
            </w:r>
          </w:p>
        </w:tc>
        <w:tc>
          <w:tcPr>
            <w:tcW w:w="1170" w:type="dxa"/>
            <w:tcBorders>
              <w:top w:val="nil"/>
              <w:left w:val="nil"/>
              <w:bottom w:val="single" w:sz="8" w:space="0" w:color="auto"/>
              <w:right w:val="single" w:sz="8" w:space="0" w:color="auto"/>
            </w:tcBorders>
            <w:shd w:val="clear" w:color="auto" w:fill="auto"/>
            <w:noWrap/>
            <w:vAlign w:val="center"/>
          </w:tcPr>
          <w:p w14:paraId="73F48359" w14:textId="22B6051B" w:rsidR="00CA49D0" w:rsidRPr="005808BA" w:rsidRDefault="00CA49D0" w:rsidP="00CA49D0">
            <w:pPr>
              <w:spacing w:after="0" w:line="240" w:lineRule="auto"/>
              <w:jc w:val="right"/>
              <w:rPr>
                <w:rFonts w:ascii="Calibri" w:eastAsia="SimSun" w:hAnsi="Calibri" w:cs="Times New Roman"/>
                <w:sz w:val="18"/>
                <w:szCs w:val="18"/>
                <w:lang w:val="es-PA" w:eastAsia="ru-RU"/>
              </w:rPr>
            </w:pPr>
            <w:r>
              <w:rPr>
                <w:rFonts w:ascii="Calibri" w:hAnsi="Calibri"/>
                <w:color w:val="000000"/>
                <w:sz w:val="18"/>
                <w:szCs w:val="18"/>
                <w:lang w:val="es-PA"/>
              </w:rPr>
              <w:t>18,000</w:t>
            </w:r>
          </w:p>
        </w:tc>
        <w:tc>
          <w:tcPr>
            <w:tcW w:w="1170" w:type="dxa"/>
            <w:tcBorders>
              <w:top w:val="nil"/>
              <w:left w:val="nil"/>
              <w:bottom w:val="single" w:sz="8" w:space="0" w:color="auto"/>
              <w:right w:val="single" w:sz="8" w:space="0" w:color="auto"/>
            </w:tcBorders>
            <w:shd w:val="clear" w:color="auto" w:fill="auto"/>
            <w:vAlign w:val="center"/>
          </w:tcPr>
          <w:p w14:paraId="06492E27" w14:textId="0DA0CD95"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0.00</w:t>
            </w:r>
          </w:p>
        </w:tc>
        <w:tc>
          <w:tcPr>
            <w:tcW w:w="1530" w:type="dxa"/>
            <w:tcBorders>
              <w:top w:val="nil"/>
              <w:left w:val="single" w:sz="4" w:space="0" w:color="auto"/>
              <w:bottom w:val="single" w:sz="4" w:space="0" w:color="auto"/>
              <w:right w:val="single" w:sz="4" w:space="0" w:color="auto"/>
            </w:tcBorders>
          </w:tcPr>
          <w:p w14:paraId="065FF209" w14:textId="20054C34"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D</w:t>
            </w:r>
          </w:p>
        </w:tc>
      </w:tr>
      <w:tr w:rsidR="00CA49D0" w:rsidRPr="005808BA" w14:paraId="41EA243F" w14:textId="77777777" w:rsidTr="00AA15F8">
        <w:tc>
          <w:tcPr>
            <w:tcW w:w="1913" w:type="dxa"/>
            <w:vMerge/>
            <w:tcBorders>
              <w:left w:val="single" w:sz="4" w:space="0" w:color="auto"/>
              <w:right w:val="single" w:sz="4" w:space="0" w:color="auto"/>
            </w:tcBorders>
            <w:noWrap/>
            <w:vAlign w:val="center"/>
            <w:hideMark/>
          </w:tcPr>
          <w:p w14:paraId="683EE3C0"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hideMark/>
          </w:tcPr>
          <w:p w14:paraId="4FB41D55"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hideMark/>
          </w:tcPr>
          <w:p w14:paraId="4BD624E3"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hideMark/>
          </w:tcPr>
          <w:p w14:paraId="7151FE97"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hideMark/>
          </w:tcPr>
          <w:p w14:paraId="71A0D6CC"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74200</w:t>
            </w:r>
          </w:p>
        </w:tc>
        <w:tc>
          <w:tcPr>
            <w:tcW w:w="3037" w:type="dxa"/>
            <w:gridSpan w:val="2"/>
            <w:tcBorders>
              <w:top w:val="single" w:sz="4" w:space="0" w:color="auto"/>
              <w:left w:val="nil"/>
              <w:bottom w:val="single" w:sz="4" w:space="0" w:color="auto"/>
              <w:right w:val="single" w:sz="4" w:space="0" w:color="auto"/>
            </w:tcBorders>
            <w:noWrap/>
            <w:hideMark/>
          </w:tcPr>
          <w:p w14:paraId="425D3856"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Audio Visual &amp; Print Prod Costs</w:t>
            </w:r>
          </w:p>
        </w:tc>
        <w:tc>
          <w:tcPr>
            <w:tcW w:w="1260" w:type="dxa"/>
            <w:tcBorders>
              <w:top w:val="nil"/>
              <w:left w:val="nil"/>
              <w:bottom w:val="single" w:sz="4" w:space="0" w:color="auto"/>
              <w:right w:val="single" w:sz="4" w:space="0" w:color="auto"/>
            </w:tcBorders>
            <w:shd w:val="clear" w:color="auto" w:fill="FFFFCC"/>
            <w:noWrap/>
            <w:hideMark/>
          </w:tcPr>
          <w:p w14:paraId="0D470832" w14:textId="18DCBF2C"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1</w:t>
            </w:r>
            <w:r w:rsidR="00E51413">
              <w:rPr>
                <w:rFonts w:ascii="Calibri" w:eastAsia="SimSun" w:hAnsi="Calibri" w:cs="Times New Roman"/>
                <w:sz w:val="18"/>
                <w:szCs w:val="18"/>
                <w:lang w:val="en-US" w:eastAsia="ru-RU"/>
              </w:rPr>
              <w:t>6</w:t>
            </w:r>
            <w:r w:rsidRPr="005808BA">
              <w:rPr>
                <w:rFonts w:ascii="Calibri" w:eastAsia="SimSun" w:hAnsi="Calibri" w:cs="Times New Roman"/>
                <w:sz w:val="18"/>
                <w:szCs w:val="18"/>
                <w:lang w:val="en-US" w:eastAsia="ru-RU"/>
              </w:rPr>
              <w:t>,000</w:t>
            </w:r>
          </w:p>
        </w:tc>
        <w:tc>
          <w:tcPr>
            <w:tcW w:w="1080" w:type="dxa"/>
            <w:gridSpan w:val="2"/>
            <w:tcBorders>
              <w:top w:val="nil"/>
              <w:left w:val="nil"/>
              <w:bottom w:val="single" w:sz="8" w:space="0" w:color="auto"/>
              <w:right w:val="single" w:sz="8" w:space="0" w:color="auto"/>
            </w:tcBorders>
            <w:shd w:val="clear" w:color="auto" w:fill="auto"/>
            <w:noWrap/>
            <w:vAlign w:val="center"/>
          </w:tcPr>
          <w:p w14:paraId="79122E8B" w14:textId="3BEEB0F4"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1,500</w:t>
            </w:r>
          </w:p>
        </w:tc>
        <w:tc>
          <w:tcPr>
            <w:tcW w:w="1170" w:type="dxa"/>
            <w:tcBorders>
              <w:top w:val="nil"/>
              <w:left w:val="nil"/>
              <w:bottom w:val="single" w:sz="8" w:space="0" w:color="auto"/>
              <w:right w:val="single" w:sz="8" w:space="0" w:color="auto"/>
            </w:tcBorders>
            <w:shd w:val="clear" w:color="auto" w:fill="auto"/>
            <w:noWrap/>
            <w:vAlign w:val="center"/>
          </w:tcPr>
          <w:p w14:paraId="4990762B" w14:textId="4F0759CE" w:rsidR="00CA49D0" w:rsidRPr="005808BA" w:rsidRDefault="00CA49D0" w:rsidP="00CA49D0">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7,000</w:t>
            </w:r>
          </w:p>
        </w:tc>
        <w:tc>
          <w:tcPr>
            <w:tcW w:w="1170" w:type="dxa"/>
            <w:tcBorders>
              <w:top w:val="nil"/>
              <w:left w:val="nil"/>
              <w:bottom w:val="single" w:sz="8" w:space="0" w:color="auto"/>
              <w:right w:val="single" w:sz="8" w:space="0" w:color="auto"/>
            </w:tcBorders>
            <w:shd w:val="clear" w:color="auto" w:fill="auto"/>
            <w:vAlign w:val="center"/>
          </w:tcPr>
          <w:p w14:paraId="7870D9CF" w14:textId="29AA249C"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7,500</w:t>
            </w:r>
          </w:p>
        </w:tc>
        <w:tc>
          <w:tcPr>
            <w:tcW w:w="1530" w:type="dxa"/>
            <w:tcBorders>
              <w:top w:val="nil"/>
              <w:left w:val="single" w:sz="4" w:space="0" w:color="auto"/>
              <w:bottom w:val="single" w:sz="4" w:space="0" w:color="auto"/>
              <w:right w:val="single" w:sz="4" w:space="0" w:color="auto"/>
            </w:tcBorders>
          </w:tcPr>
          <w:p w14:paraId="46122A36" w14:textId="407C37AE"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E</w:t>
            </w:r>
          </w:p>
        </w:tc>
      </w:tr>
      <w:tr w:rsidR="00CA49D0" w:rsidRPr="005808BA" w14:paraId="72DB5DE2" w14:textId="77777777" w:rsidTr="00AA15F8">
        <w:tc>
          <w:tcPr>
            <w:tcW w:w="1913" w:type="dxa"/>
            <w:vMerge/>
            <w:tcBorders>
              <w:left w:val="single" w:sz="4" w:space="0" w:color="auto"/>
              <w:right w:val="single" w:sz="4" w:space="0" w:color="auto"/>
            </w:tcBorders>
            <w:noWrap/>
            <w:vAlign w:val="center"/>
          </w:tcPr>
          <w:p w14:paraId="7FB79849"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tcPr>
          <w:p w14:paraId="415A1C49"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tcPr>
          <w:p w14:paraId="38FBE86C"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tcPr>
          <w:p w14:paraId="33105126"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1405F773" w14:textId="64ADAF2B" w:rsidR="00CA49D0" w:rsidRPr="005808BA" w:rsidRDefault="00CA49D0" w:rsidP="00CA49D0">
            <w:pPr>
              <w:spacing w:after="0" w:line="240" w:lineRule="auto"/>
              <w:jc w:val="center"/>
              <w:rPr>
                <w:rFonts w:ascii="Calibri" w:eastAsia="SimSun" w:hAnsi="Calibri" w:cs="Times New Roman"/>
                <w:sz w:val="18"/>
                <w:szCs w:val="18"/>
                <w:lang w:val="en-US" w:eastAsia="ru-RU"/>
              </w:rPr>
            </w:pPr>
            <w:r>
              <w:rPr>
                <w:rFonts w:ascii="Calibri" w:eastAsia="SimSun" w:hAnsi="Calibri" w:cs="Times New Roman"/>
                <w:sz w:val="18"/>
                <w:szCs w:val="18"/>
                <w:lang w:val="en-US" w:eastAsia="ru-RU"/>
              </w:rPr>
              <w:t>75700</w:t>
            </w:r>
          </w:p>
        </w:tc>
        <w:tc>
          <w:tcPr>
            <w:tcW w:w="3037" w:type="dxa"/>
            <w:gridSpan w:val="2"/>
            <w:tcBorders>
              <w:top w:val="single" w:sz="4" w:space="0" w:color="auto"/>
              <w:left w:val="nil"/>
              <w:bottom w:val="single" w:sz="4" w:space="0" w:color="auto"/>
              <w:right w:val="single" w:sz="4" w:space="0" w:color="auto"/>
            </w:tcBorders>
            <w:noWrap/>
            <w:vAlign w:val="center"/>
          </w:tcPr>
          <w:p w14:paraId="43F2A5AF" w14:textId="402ACF65" w:rsidR="00CA49D0" w:rsidRPr="005808BA" w:rsidRDefault="00CA49D0" w:rsidP="00CA49D0">
            <w:pPr>
              <w:spacing w:after="0" w:line="240" w:lineRule="auto"/>
              <w:jc w:val="both"/>
              <w:rPr>
                <w:rFonts w:ascii="Calibri" w:eastAsia="SimSun" w:hAnsi="Calibri" w:cs="Times New Roman"/>
                <w:color w:val="000000"/>
                <w:sz w:val="18"/>
                <w:szCs w:val="18"/>
                <w:lang w:val="en-US"/>
              </w:rPr>
            </w:pPr>
            <w:r w:rsidRPr="00223409">
              <w:rPr>
                <w:rFonts w:ascii="Calibri" w:eastAsia="SimSun" w:hAnsi="Calibri" w:cs="Times New Roman"/>
                <w:color w:val="000000"/>
                <w:sz w:val="18"/>
                <w:szCs w:val="18"/>
                <w:lang w:val="en-US"/>
              </w:rPr>
              <w:t>Training, Workshops &amp; Conferences</w:t>
            </w:r>
          </w:p>
        </w:tc>
        <w:tc>
          <w:tcPr>
            <w:tcW w:w="1260" w:type="dxa"/>
            <w:tcBorders>
              <w:top w:val="nil"/>
              <w:left w:val="nil"/>
              <w:bottom w:val="single" w:sz="4" w:space="0" w:color="auto"/>
              <w:right w:val="single" w:sz="4" w:space="0" w:color="auto"/>
            </w:tcBorders>
            <w:shd w:val="clear" w:color="auto" w:fill="FFFFCC"/>
            <w:noWrap/>
          </w:tcPr>
          <w:p w14:paraId="4ECAF92C" w14:textId="29C00AD9"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eastAsia="SimSun" w:hAnsi="Calibri" w:cs="Times New Roman"/>
                <w:sz w:val="18"/>
                <w:szCs w:val="18"/>
                <w:lang w:val="en-US"/>
              </w:rPr>
              <w:t>25,000</w:t>
            </w:r>
          </w:p>
        </w:tc>
        <w:tc>
          <w:tcPr>
            <w:tcW w:w="1080" w:type="dxa"/>
            <w:gridSpan w:val="2"/>
            <w:tcBorders>
              <w:top w:val="nil"/>
              <w:left w:val="nil"/>
              <w:bottom w:val="single" w:sz="8" w:space="0" w:color="auto"/>
              <w:right w:val="single" w:sz="8" w:space="0" w:color="auto"/>
            </w:tcBorders>
            <w:shd w:val="clear" w:color="auto" w:fill="auto"/>
            <w:noWrap/>
            <w:vAlign w:val="center"/>
          </w:tcPr>
          <w:p w14:paraId="5BC5FB94" w14:textId="680D1384"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2,000</w:t>
            </w:r>
          </w:p>
        </w:tc>
        <w:tc>
          <w:tcPr>
            <w:tcW w:w="1170" w:type="dxa"/>
            <w:tcBorders>
              <w:top w:val="nil"/>
              <w:left w:val="nil"/>
              <w:bottom w:val="single" w:sz="8" w:space="0" w:color="auto"/>
              <w:right w:val="single" w:sz="8" w:space="0" w:color="auto"/>
            </w:tcBorders>
            <w:shd w:val="clear" w:color="auto" w:fill="auto"/>
            <w:noWrap/>
            <w:vAlign w:val="center"/>
          </w:tcPr>
          <w:p w14:paraId="55513A80" w14:textId="58B2AD6E"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15,000</w:t>
            </w:r>
          </w:p>
        </w:tc>
        <w:tc>
          <w:tcPr>
            <w:tcW w:w="1170" w:type="dxa"/>
            <w:tcBorders>
              <w:top w:val="nil"/>
              <w:left w:val="nil"/>
              <w:bottom w:val="single" w:sz="8" w:space="0" w:color="auto"/>
              <w:right w:val="single" w:sz="8" w:space="0" w:color="auto"/>
            </w:tcBorders>
            <w:shd w:val="clear" w:color="auto" w:fill="auto"/>
            <w:vAlign w:val="center"/>
          </w:tcPr>
          <w:p w14:paraId="4C3CC0DB" w14:textId="7802584C"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 xml:space="preserve">         8,000 </w:t>
            </w:r>
          </w:p>
        </w:tc>
        <w:tc>
          <w:tcPr>
            <w:tcW w:w="1530" w:type="dxa"/>
            <w:tcBorders>
              <w:top w:val="nil"/>
              <w:left w:val="single" w:sz="4" w:space="0" w:color="auto"/>
              <w:bottom w:val="single" w:sz="4" w:space="0" w:color="auto"/>
              <w:right w:val="single" w:sz="4" w:space="0" w:color="auto"/>
            </w:tcBorders>
          </w:tcPr>
          <w:p w14:paraId="283E2342" w14:textId="1C60E4F8" w:rsidR="00CA49D0"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F</w:t>
            </w:r>
          </w:p>
        </w:tc>
      </w:tr>
      <w:tr w:rsidR="00CA49D0" w:rsidRPr="005808BA" w14:paraId="069666DC" w14:textId="77777777" w:rsidTr="00AA15F8">
        <w:tc>
          <w:tcPr>
            <w:tcW w:w="1913" w:type="dxa"/>
            <w:vMerge/>
            <w:tcBorders>
              <w:left w:val="single" w:sz="4" w:space="0" w:color="auto"/>
              <w:right w:val="single" w:sz="4" w:space="0" w:color="auto"/>
            </w:tcBorders>
            <w:noWrap/>
            <w:vAlign w:val="center"/>
          </w:tcPr>
          <w:p w14:paraId="4E7D5B6E" w14:textId="77777777" w:rsidR="00CA49D0" w:rsidRPr="005808BA" w:rsidRDefault="00CA49D0" w:rsidP="00CA49D0">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tcPr>
          <w:p w14:paraId="3A295CEF" w14:textId="77777777" w:rsidR="00CA49D0" w:rsidRPr="005808BA" w:rsidRDefault="00CA49D0" w:rsidP="00CA49D0">
            <w:pPr>
              <w:spacing w:after="0" w:line="240" w:lineRule="auto"/>
              <w:jc w:val="both"/>
              <w:rPr>
                <w:rFonts w:ascii="Calibri" w:eastAsia="SimSun" w:hAnsi="Calibri" w:cs="Times New Roman"/>
                <w:sz w:val="18"/>
                <w:szCs w:val="18"/>
                <w:lang w:val="ru-RU" w:eastAsia="ru-RU"/>
              </w:rPr>
            </w:pPr>
          </w:p>
        </w:tc>
        <w:tc>
          <w:tcPr>
            <w:tcW w:w="810" w:type="dxa"/>
            <w:gridSpan w:val="2"/>
            <w:vMerge/>
            <w:tcBorders>
              <w:left w:val="nil"/>
              <w:right w:val="single" w:sz="4" w:space="0" w:color="auto"/>
            </w:tcBorders>
          </w:tcPr>
          <w:p w14:paraId="5FDF0BB9"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tcPr>
          <w:p w14:paraId="0AD19C51" w14:textId="77777777" w:rsidR="00CA49D0" w:rsidRPr="005808BA" w:rsidRDefault="00CA49D0" w:rsidP="00CA49D0">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26667651" w14:textId="77777777" w:rsidR="00CA49D0" w:rsidRPr="005808BA" w:rsidRDefault="00CA49D0" w:rsidP="00CA49D0">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74500</w:t>
            </w:r>
          </w:p>
        </w:tc>
        <w:tc>
          <w:tcPr>
            <w:tcW w:w="3037" w:type="dxa"/>
            <w:gridSpan w:val="2"/>
            <w:tcBorders>
              <w:top w:val="single" w:sz="4" w:space="0" w:color="auto"/>
              <w:left w:val="nil"/>
              <w:bottom w:val="single" w:sz="4" w:space="0" w:color="auto"/>
              <w:right w:val="single" w:sz="4" w:space="0" w:color="auto"/>
            </w:tcBorders>
            <w:noWrap/>
            <w:vAlign w:val="center"/>
          </w:tcPr>
          <w:p w14:paraId="43D5BF51" w14:textId="77777777" w:rsidR="00CA49D0" w:rsidRPr="005808BA" w:rsidRDefault="00CA49D0" w:rsidP="00CA49D0">
            <w:pPr>
              <w:spacing w:after="0" w:line="240" w:lineRule="auto"/>
              <w:jc w:val="both"/>
              <w:rPr>
                <w:rFonts w:ascii="Calibri" w:eastAsia="SimSun" w:hAnsi="Calibri" w:cs="Times New Roman"/>
                <w:color w:val="000000"/>
                <w:sz w:val="18"/>
                <w:szCs w:val="18"/>
                <w:lang w:val="en-US"/>
              </w:rPr>
            </w:pPr>
            <w:r w:rsidRPr="005808BA">
              <w:rPr>
                <w:rFonts w:ascii="Calibri" w:eastAsia="SimSun" w:hAnsi="Calibri" w:cs="Times New Roman"/>
                <w:color w:val="000000"/>
                <w:sz w:val="18"/>
                <w:szCs w:val="18"/>
                <w:lang w:val="en-US"/>
              </w:rPr>
              <w:t>Miscellaneous</w:t>
            </w:r>
          </w:p>
        </w:tc>
        <w:tc>
          <w:tcPr>
            <w:tcW w:w="1260" w:type="dxa"/>
            <w:tcBorders>
              <w:top w:val="nil"/>
              <w:left w:val="nil"/>
              <w:bottom w:val="single" w:sz="4" w:space="0" w:color="auto"/>
              <w:right w:val="single" w:sz="4" w:space="0" w:color="auto"/>
            </w:tcBorders>
            <w:shd w:val="clear" w:color="auto" w:fill="FFFFCC"/>
            <w:noWrap/>
          </w:tcPr>
          <w:p w14:paraId="7A19619C" w14:textId="77777777" w:rsidR="00CA49D0" w:rsidRPr="005808BA" w:rsidRDefault="00CA49D0" w:rsidP="00CA49D0">
            <w:pPr>
              <w:spacing w:after="0" w:line="240" w:lineRule="auto"/>
              <w:jc w:val="right"/>
              <w:rPr>
                <w:rFonts w:ascii="Calibri" w:eastAsia="SimSun" w:hAnsi="Calibri" w:cs="Times New Roman"/>
                <w:sz w:val="18"/>
                <w:szCs w:val="18"/>
                <w:lang w:val="en-US"/>
              </w:rPr>
            </w:pPr>
            <w:r w:rsidRPr="005808BA">
              <w:rPr>
                <w:rFonts w:ascii="Calibri" w:eastAsia="SimSun" w:hAnsi="Calibri" w:cs="Times New Roman"/>
                <w:sz w:val="18"/>
                <w:szCs w:val="18"/>
                <w:lang w:val="en-US"/>
              </w:rPr>
              <w:t>5,000</w:t>
            </w:r>
          </w:p>
        </w:tc>
        <w:tc>
          <w:tcPr>
            <w:tcW w:w="1080" w:type="dxa"/>
            <w:gridSpan w:val="2"/>
            <w:tcBorders>
              <w:top w:val="nil"/>
              <w:left w:val="nil"/>
              <w:bottom w:val="single" w:sz="8" w:space="0" w:color="auto"/>
              <w:right w:val="single" w:sz="8" w:space="0" w:color="auto"/>
            </w:tcBorders>
            <w:shd w:val="clear" w:color="auto" w:fill="auto"/>
            <w:noWrap/>
            <w:vAlign w:val="center"/>
          </w:tcPr>
          <w:p w14:paraId="3AC2A00C" w14:textId="59B4462D"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500</w:t>
            </w:r>
          </w:p>
        </w:tc>
        <w:tc>
          <w:tcPr>
            <w:tcW w:w="1170" w:type="dxa"/>
            <w:tcBorders>
              <w:top w:val="nil"/>
              <w:left w:val="nil"/>
              <w:bottom w:val="single" w:sz="8" w:space="0" w:color="auto"/>
              <w:right w:val="single" w:sz="8" w:space="0" w:color="auto"/>
            </w:tcBorders>
            <w:shd w:val="clear" w:color="auto" w:fill="auto"/>
            <w:noWrap/>
            <w:vAlign w:val="center"/>
          </w:tcPr>
          <w:p w14:paraId="5782C84C" w14:textId="73F517CB" w:rsidR="00CA49D0" w:rsidRPr="005808BA" w:rsidRDefault="00CA49D0" w:rsidP="00CA49D0">
            <w:pPr>
              <w:spacing w:after="0" w:line="240" w:lineRule="auto"/>
              <w:jc w:val="right"/>
              <w:rPr>
                <w:rFonts w:ascii="Calibri" w:eastAsia="SimSun" w:hAnsi="Calibri" w:cs="Times New Roman"/>
                <w:sz w:val="18"/>
                <w:szCs w:val="18"/>
                <w:lang w:val="en-US"/>
              </w:rPr>
            </w:pPr>
            <w:r>
              <w:rPr>
                <w:rFonts w:ascii="Calibri" w:hAnsi="Calibri"/>
                <w:color w:val="000000"/>
                <w:sz w:val="18"/>
                <w:szCs w:val="18"/>
              </w:rPr>
              <w:t>3,000</w:t>
            </w:r>
          </w:p>
        </w:tc>
        <w:tc>
          <w:tcPr>
            <w:tcW w:w="1170" w:type="dxa"/>
            <w:tcBorders>
              <w:top w:val="nil"/>
              <w:left w:val="nil"/>
              <w:bottom w:val="single" w:sz="8" w:space="0" w:color="auto"/>
              <w:right w:val="single" w:sz="8" w:space="0" w:color="auto"/>
            </w:tcBorders>
            <w:shd w:val="clear" w:color="auto" w:fill="auto"/>
            <w:vAlign w:val="center"/>
          </w:tcPr>
          <w:p w14:paraId="369F2434" w14:textId="0D0265EE" w:rsidR="00CA49D0" w:rsidRDefault="00CA49D0"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 xml:space="preserve">         1,500 </w:t>
            </w:r>
          </w:p>
        </w:tc>
        <w:tc>
          <w:tcPr>
            <w:tcW w:w="1530" w:type="dxa"/>
            <w:tcBorders>
              <w:top w:val="nil"/>
              <w:left w:val="single" w:sz="4" w:space="0" w:color="auto"/>
              <w:bottom w:val="single" w:sz="4" w:space="0" w:color="auto"/>
              <w:right w:val="single" w:sz="4" w:space="0" w:color="auto"/>
            </w:tcBorders>
          </w:tcPr>
          <w:p w14:paraId="4F4AE094" w14:textId="51BF6554" w:rsidR="00CA49D0" w:rsidRPr="005808BA" w:rsidRDefault="00CA49D0" w:rsidP="00CA49D0">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G</w:t>
            </w:r>
          </w:p>
        </w:tc>
      </w:tr>
      <w:tr w:rsidR="00DB6CFB" w:rsidRPr="005808BA" w14:paraId="09DFBCF6" w14:textId="77777777" w:rsidTr="00AA15F8">
        <w:tc>
          <w:tcPr>
            <w:tcW w:w="1913" w:type="dxa"/>
            <w:vMerge/>
            <w:tcBorders>
              <w:left w:val="single" w:sz="4" w:space="0" w:color="auto"/>
              <w:bottom w:val="nil"/>
              <w:right w:val="single" w:sz="4" w:space="0" w:color="auto"/>
            </w:tcBorders>
            <w:shd w:val="clear" w:color="auto" w:fill="auto"/>
            <w:noWrap/>
            <w:vAlign w:val="center"/>
            <w:hideMark/>
          </w:tcPr>
          <w:p w14:paraId="48A45A67" w14:textId="77777777" w:rsidR="00D86992" w:rsidRPr="005808BA" w:rsidRDefault="00D86992" w:rsidP="005808BA">
            <w:pPr>
              <w:spacing w:after="0" w:line="240" w:lineRule="auto"/>
              <w:jc w:val="both"/>
              <w:rPr>
                <w:rFonts w:ascii="Calibri" w:eastAsia="SimSun" w:hAnsi="Calibri" w:cs="Times New Roman"/>
                <w:sz w:val="18"/>
                <w:szCs w:val="18"/>
                <w:lang w:val="en-US" w:eastAsia="ru-RU"/>
              </w:rPr>
            </w:pPr>
          </w:p>
        </w:tc>
        <w:tc>
          <w:tcPr>
            <w:tcW w:w="6727" w:type="dxa"/>
            <w:gridSpan w:val="7"/>
            <w:tcBorders>
              <w:top w:val="single" w:sz="4" w:space="0" w:color="auto"/>
              <w:left w:val="nil"/>
              <w:bottom w:val="single" w:sz="4" w:space="0" w:color="auto"/>
              <w:right w:val="single" w:sz="4" w:space="0" w:color="auto"/>
            </w:tcBorders>
            <w:shd w:val="clear" w:color="000000" w:fill="CCFFCC"/>
            <w:noWrap/>
            <w:hideMark/>
          </w:tcPr>
          <w:p w14:paraId="642D09CB" w14:textId="77777777" w:rsidR="00D86992" w:rsidRPr="005808BA" w:rsidRDefault="00D86992" w:rsidP="005808BA">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b/>
                <w:bCs/>
                <w:sz w:val="18"/>
                <w:szCs w:val="18"/>
                <w:lang w:val="en-US" w:eastAsia="ru-RU"/>
              </w:rPr>
              <w:t>GEF Subtotal Atlas Activity 2 (Comp 2)</w:t>
            </w:r>
            <w:r w:rsidRPr="005808BA">
              <w:rPr>
                <w:rFonts w:ascii="Calibri" w:eastAsia="SimSun" w:hAnsi="Calibri" w:cs="Times New Roman"/>
                <w:sz w:val="18"/>
                <w:szCs w:val="18"/>
                <w:lang w:val="en-US" w:eastAsia="ru-RU"/>
              </w:rPr>
              <w:t> </w:t>
            </w:r>
          </w:p>
        </w:tc>
        <w:tc>
          <w:tcPr>
            <w:tcW w:w="1260" w:type="dxa"/>
            <w:tcBorders>
              <w:top w:val="nil"/>
              <w:left w:val="nil"/>
              <w:bottom w:val="single" w:sz="4" w:space="0" w:color="auto"/>
              <w:right w:val="single" w:sz="4" w:space="0" w:color="auto"/>
            </w:tcBorders>
            <w:shd w:val="clear" w:color="000000" w:fill="CCFFCC"/>
            <w:hideMark/>
          </w:tcPr>
          <w:p w14:paraId="2EDD8B90" w14:textId="1C9EB2B8" w:rsidR="00D86992" w:rsidRPr="005808BA" w:rsidRDefault="00DB6CFB"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2</w:t>
            </w:r>
            <w:r w:rsidR="00D86992">
              <w:rPr>
                <w:rFonts w:ascii="Calibri" w:eastAsia="SimSun" w:hAnsi="Calibri" w:cs="Times New Roman"/>
                <w:b/>
                <w:sz w:val="18"/>
                <w:szCs w:val="18"/>
                <w:lang w:val="en-US" w:eastAsia="ru-RU"/>
              </w:rPr>
              <w:t>21</w:t>
            </w:r>
            <w:r w:rsidR="00D86992" w:rsidRPr="005808BA">
              <w:rPr>
                <w:rFonts w:ascii="Calibri" w:eastAsia="SimSun" w:hAnsi="Calibri" w:cs="Times New Roman"/>
                <w:b/>
                <w:sz w:val="18"/>
                <w:szCs w:val="18"/>
                <w:lang w:val="en-US" w:eastAsia="ru-RU"/>
              </w:rPr>
              <w:t>,000</w:t>
            </w:r>
          </w:p>
        </w:tc>
        <w:tc>
          <w:tcPr>
            <w:tcW w:w="1080" w:type="dxa"/>
            <w:gridSpan w:val="2"/>
            <w:tcBorders>
              <w:top w:val="nil"/>
              <w:left w:val="nil"/>
              <w:bottom w:val="single" w:sz="4" w:space="0" w:color="auto"/>
              <w:right w:val="single" w:sz="4" w:space="0" w:color="auto"/>
            </w:tcBorders>
            <w:shd w:val="clear" w:color="000000" w:fill="CCFFCC"/>
          </w:tcPr>
          <w:p w14:paraId="043FCC7D" w14:textId="42C7C97D" w:rsidR="00D86992" w:rsidRPr="005808BA" w:rsidRDefault="00DB6CFB"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21,</w:t>
            </w:r>
            <w:r w:rsidR="00CF4664">
              <w:rPr>
                <w:rFonts w:ascii="Calibri" w:eastAsia="SimSun" w:hAnsi="Calibri" w:cs="Times New Roman"/>
                <w:b/>
                <w:sz w:val="18"/>
                <w:szCs w:val="18"/>
                <w:lang w:val="en-US" w:eastAsia="ru-RU"/>
              </w:rPr>
              <w:t>000</w:t>
            </w:r>
          </w:p>
        </w:tc>
        <w:tc>
          <w:tcPr>
            <w:tcW w:w="1170" w:type="dxa"/>
            <w:tcBorders>
              <w:top w:val="nil"/>
              <w:left w:val="nil"/>
              <w:bottom w:val="single" w:sz="4" w:space="0" w:color="auto"/>
              <w:right w:val="single" w:sz="4" w:space="0" w:color="auto"/>
            </w:tcBorders>
            <w:shd w:val="clear" w:color="000000" w:fill="CCFFCC"/>
          </w:tcPr>
          <w:p w14:paraId="28CA8998" w14:textId="77777777" w:rsidR="00CA49D0" w:rsidRDefault="00CA49D0" w:rsidP="00CA49D0">
            <w:pPr>
              <w:jc w:val="right"/>
              <w:rPr>
                <w:rFonts w:ascii="Calibri" w:hAnsi="Calibri"/>
                <w:b/>
                <w:bCs/>
                <w:color w:val="000000"/>
                <w:sz w:val="18"/>
                <w:szCs w:val="18"/>
              </w:rPr>
            </w:pPr>
            <w:r>
              <w:rPr>
                <w:rFonts w:ascii="Calibri" w:hAnsi="Calibri"/>
                <w:b/>
                <w:bCs/>
                <w:color w:val="000000"/>
                <w:sz w:val="18"/>
                <w:szCs w:val="18"/>
              </w:rPr>
              <w:t>160,000</w:t>
            </w:r>
          </w:p>
          <w:p w14:paraId="1E947B3A" w14:textId="6767DB41" w:rsidR="00D86992" w:rsidRPr="005808BA" w:rsidRDefault="00D86992" w:rsidP="005808BA">
            <w:pPr>
              <w:spacing w:after="0" w:line="240" w:lineRule="auto"/>
              <w:jc w:val="right"/>
              <w:rPr>
                <w:rFonts w:ascii="Calibri" w:eastAsia="SimSun" w:hAnsi="Calibri" w:cs="Times New Roman"/>
                <w:b/>
                <w:sz w:val="18"/>
                <w:szCs w:val="18"/>
                <w:lang w:val="en-US" w:eastAsia="ru-RU"/>
              </w:rPr>
            </w:pPr>
          </w:p>
        </w:tc>
        <w:tc>
          <w:tcPr>
            <w:tcW w:w="1170" w:type="dxa"/>
            <w:tcBorders>
              <w:top w:val="single" w:sz="4" w:space="0" w:color="auto"/>
              <w:left w:val="nil"/>
              <w:bottom w:val="single" w:sz="4" w:space="0" w:color="auto"/>
              <w:right w:val="single" w:sz="4" w:space="0" w:color="auto"/>
            </w:tcBorders>
            <w:shd w:val="clear" w:color="000000" w:fill="CCFFCC"/>
          </w:tcPr>
          <w:p w14:paraId="3CBEA42B" w14:textId="0AEB1B15" w:rsidR="00D86992" w:rsidRPr="00AA15F8" w:rsidRDefault="00BD09E5" w:rsidP="00AA15F8">
            <w:pPr>
              <w:spacing w:after="0" w:line="240" w:lineRule="auto"/>
              <w:jc w:val="right"/>
              <w:rPr>
                <w:rFonts w:ascii="Calibri" w:eastAsia="SimSun" w:hAnsi="Calibri" w:cs="Times New Roman"/>
                <w:sz w:val="18"/>
                <w:szCs w:val="18"/>
                <w:lang w:val="en-US" w:eastAsia="ru-RU"/>
              </w:rPr>
            </w:pPr>
            <w:r w:rsidRPr="00BD09E5">
              <w:rPr>
                <w:rFonts w:ascii="Calibri" w:eastAsia="SimSun" w:hAnsi="Calibri" w:cs="Times New Roman"/>
                <w:b/>
                <w:sz w:val="18"/>
                <w:szCs w:val="18"/>
                <w:lang w:val="en-US" w:eastAsia="ru-RU"/>
              </w:rPr>
              <w:t>40,000</w:t>
            </w:r>
          </w:p>
        </w:tc>
        <w:tc>
          <w:tcPr>
            <w:tcW w:w="1530" w:type="dxa"/>
            <w:tcBorders>
              <w:top w:val="nil"/>
              <w:left w:val="single" w:sz="4" w:space="0" w:color="auto"/>
              <w:bottom w:val="single" w:sz="4" w:space="0" w:color="auto"/>
              <w:right w:val="single" w:sz="4" w:space="0" w:color="auto"/>
            </w:tcBorders>
            <w:shd w:val="clear" w:color="000000" w:fill="CCFFCC"/>
          </w:tcPr>
          <w:p w14:paraId="4148332B" w14:textId="123CACD2" w:rsidR="00D86992" w:rsidRPr="005808BA" w:rsidRDefault="00D86992" w:rsidP="005808BA">
            <w:pPr>
              <w:spacing w:after="0" w:line="240" w:lineRule="auto"/>
              <w:jc w:val="center"/>
              <w:rPr>
                <w:rFonts w:ascii="Calibri" w:eastAsia="SimSun" w:hAnsi="Calibri" w:cs="Times New Roman"/>
                <w:sz w:val="18"/>
                <w:szCs w:val="18"/>
                <w:lang w:val="ru-RU" w:eastAsia="ru-RU"/>
              </w:rPr>
            </w:pPr>
          </w:p>
        </w:tc>
      </w:tr>
      <w:tr w:rsidR="00DB6CFB" w:rsidRPr="005808BA" w14:paraId="60B90970" w14:textId="77777777" w:rsidTr="00DB6CFB">
        <w:tc>
          <w:tcPr>
            <w:tcW w:w="8640"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760CFA7" w14:textId="77777777" w:rsidR="00D86992" w:rsidRPr="005808BA" w:rsidRDefault="00D86992" w:rsidP="005808BA">
            <w:pPr>
              <w:spacing w:after="0" w:line="240" w:lineRule="auto"/>
              <w:jc w:val="both"/>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TOTAL ACTIVITY 2 (Comp 2)</w:t>
            </w:r>
          </w:p>
        </w:tc>
        <w:tc>
          <w:tcPr>
            <w:tcW w:w="1260" w:type="dxa"/>
            <w:tcBorders>
              <w:top w:val="nil"/>
              <w:left w:val="nil"/>
              <w:bottom w:val="single" w:sz="4" w:space="0" w:color="auto"/>
              <w:right w:val="single" w:sz="4" w:space="0" w:color="auto"/>
            </w:tcBorders>
            <w:shd w:val="clear" w:color="000000" w:fill="C0C0C0"/>
            <w:hideMark/>
          </w:tcPr>
          <w:p w14:paraId="080B32E8" w14:textId="16533AD6" w:rsidR="00D86992" w:rsidRPr="005808BA" w:rsidRDefault="00D86992"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2</w:t>
            </w:r>
            <w:r w:rsidR="00DB6CFB">
              <w:rPr>
                <w:rFonts w:ascii="Calibri" w:eastAsia="SimSun" w:hAnsi="Calibri" w:cs="Times New Roman"/>
                <w:b/>
                <w:sz w:val="18"/>
                <w:szCs w:val="18"/>
                <w:lang w:val="en-US" w:eastAsia="ru-RU"/>
              </w:rPr>
              <w:t>2</w:t>
            </w:r>
            <w:r w:rsidRPr="005808BA">
              <w:rPr>
                <w:rFonts w:ascii="Calibri" w:eastAsia="SimSun" w:hAnsi="Calibri" w:cs="Times New Roman"/>
                <w:b/>
                <w:sz w:val="18"/>
                <w:szCs w:val="18"/>
                <w:lang w:val="en-US" w:eastAsia="ru-RU"/>
              </w:rPr>
              <w:t>1,000</w:t>
            </w:r>
          </w:p>
        </w:tc>
        <w:tc>
          <w:tcPr>
            <w:tcW w:w="1080" w:type="dxa"/>
            <w:gridSpan w:val="2"/>
            <w:tcBorders>
              <w:top w:val="nil"/>
              <w:left w:val="nil"/>
              <w:bottom w:val="single" w:sz="4" w:space="0" w:color="auto"/>
              <w:right w:val="single" w:sz="4" w:space="0" w:color="auto"/>
            </w:tcBorders>
            <w:shd w:val="clear" w:color="000000" w:fill="C0C0C0"/>
            <w:hideMark/>
          </w:tcPr>
          <w:p w14:paraId="30AC9DB6" w14:textId="5FDDE436" w:rsidR="00D86992" w:rsidRPr="005808BA" w:rsidRDefault="00CF4664"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2</w:t>
            </w:r>
            <w:r w:rsidR="00DB6CFB">
              <w:rPr>
                <w:rFonts w:ascii="Calibri" w:eastAsia="SimSun" w:hAnsi="Calibri" w:cs="Times New Roman"/>
                <w:b/>
                <w:sz w:val="18"/>
                <w:szCs w:val="18"/>
                <w:lang w:val="en-US" w:eastAsia="ru-RU"/>
              </w:rPr>
              <w:t>1,</w:t>
            </w:r>
            <w:r>
              <w:rPr>
                <w:rFonts w:ascii="Calibri" w:eastAsia="SimSun" w:hAnsi="Calibri" w:cs="Times New Roman"/>
                <w:b/>
                <w:sz w:val="18"/>
                <w:szCs w:val="18"/>
                <w:lang w:val="en-US" w:eastAsia="ru-RU"/>
              </w:rPr>
              <w:t>000</w:t>
            </w:r>
          </w:p>
        </w:tc>
        <w:tc>
          <w:tcPr>
            <w:tcW w:w="1170" w:type="dxa"/>
            <w:tcBorders>
              <w:top w:val="nil"/>
              <w:left w:val="nil"/>
              <w:bottom w:val="single" w:sz="4" w:space="0" w:color="auto"/>
              <w:right w:val="single" w:sz="4" w:space="0" w:color="auto"/>
            </w:tcBorders>
            <w:shd w:val="clear" w:color="000000" w:fill="C0C0C0"/>
            <w:hideMark/>
          </w:tcPr>
          <w:p w14:paraId="692B2821" w14:textId="421433C5" w:rsidR="00D86992" w:rsidRPr="005808BA" w:rsidRDefault="00D86992"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1</w:t>
            </w:r>
            <w:r w:rsidR="00CA49D0">
              <w:rPr>
                <w:rFonts w:ascii="Calibri" w:eastAsia="SimSun" w:hAnsi="Calibri" w:cs="Times New Roman"/>
                <w:b/>
                <w:sz w:val="18"/>
                <w:szCs w:val="18"/>
                <w:lang w:val="en-US" w:eastAsia="ru-RU"/>
              </w:rPr>
              <w:t>60</w:t>
            </w:r>
            <w:r w:rsidR="00DB6CFB">
              <w:rPr>
                <w:rFonts w:ascii="Calibri" w:eastAsia="SimSun" w:hAnsi="Calibri" w:cs="Times New Roman"/>
                <w:b/>
                <w:sz w:val="18"/>
                <w:szCs w:val="18"/>
                <w:lang w:val="en-US" w:eastAsia="ru-RU"/>
              </w:rPr>
              <w:t>,</w:t>
            </w:r>
            <w:r>
              <w:rPr>
                <w:rFonts w:ascii="Calibri" w:eastAsia="SimSun" w:hAnsi="Calibri" w:cs="Times New Roman"/>
                <w:b/>
                <w:sz w:val="18"/>
                <w:szCs w:val="18"/>
                <w:lang w:val="en-US" w:eastAsia="ru-RU"/>
              </w:rPr>
              <w:t>000</w:t>
            </w:r>
          </w:p>
        </w:tc>
        <w:tc>
          <w:tcPr>
            <w:tcW w:w="1170" w:type="dxa"/>
            <w:tcBorders>
              <w:top w:val="single" w:sz="4" w:space="0" w:color="auto"/>
              <w:left w:val="nil"/>
              <w:bottom w:val="single" w:sz="4" w:space="0" w:color="auto"/>
              <w:right w:val="single" w:sz="4" w:space="0" w:color="auto"/>
            </w:tcBorders>
            <w:shd w:val="clear" w:color="000000" w:fill="C0C0C0"/>
          </w:tcPr>
          <w:p w14:paraId="1B6A1F04" w14:textId="7D4B3141" w:rsidR="00D86992" w:rsidRPr="00AA15F8" w:rsidRDefault="00BD09E5" w:rsidP="00AA15F8">
            <w:pPr>
              <w:spacing w:after="0" w:line="240" w:lineRule="auto"/>
              <w:jc w:val="right"/>
              <w:rPr>
                <w:rFonts w:ascii="Calibri" w:eastAsia="SimSun" w:hAnsi="Calibri" w:cs="Times New Roman"/>
                <w:b/>
                <w:bCs/>
                <w:sz w:val="18"/>
                <w:szCs w:val="18"/>
                <w:lang w:val="en-US" w:eastAsia="ru-RU"/>
              </w:rPr>
            </w:pPr>
            <w:r w:rsidRPr="00BD09E5">
              <w:rPr>
                <w:rFonts w:ascii="Calibri" w:eastAsia="SimSun" w:hAnsi="Calibri" w:cs="Times New Roman"/>
                <w:b/>
                <w:bCs/>
                <w:sz w:val="18"/>
                <w:szCs w:val="18"/>
                <w:lang w:val="en-US" w:eastAsia="ru-RU"/>
              </w:rPr>
              <w:t>40,000</w:t>
            </w:r>
          </w:p>
        </w:tc>
        <w:tc>
          <w:tcPr>
            <w:tcW w:w="1530" w:type="dxa"/>
            <w:tcBorders>
              <w:top w:val="nil"/>
              <w:left w:val="single" w:sz="4" w:space="0" w:color="auto"/>
              <w:bottom w:val="single" w:sz="4" w:space="0" w:color="auto"/>
              <w:right w:val="single" w:sz="4" w:space="0" w:color="auto"/>
            </w:tcBorders>
            <w:shd w:val="clear" w:color="000000" w:fill="C0C0C0"/>
          </w:tcPr>
          <w:p w14:paraId="37AF7219" w14:textId="78ACE214" w:rsidR="00D86992" w:rsidRPr="005808BA" w:rsidRDefault="00D86992" w:rsidP="005808BA">
            <w:pPr>
              <w:spacing w:after="0" w:line="240" w:lineRule="auto"/>
              <w:jc w:val="right"/>
              <w:rPr>
                <w:rFonts w:ascii="Calibri" w:eastAsia="SimSun" w:hAnsi="Calibri" w:cs="Times New Roman"/>
                <w:b/>
                <w:bCs/>
                <w:sz w:val="18"/>
                <w:szCs w:val="18"/>
                <w:lang w:val="ru-RU" w:eastAsia="ru-RU"/>
              </w:rPr>
            </w:pPr>
          </w:p>
        </w:tc>
      </w:tr>
    </w:tbl>
    <w:p w14:paraId="2D0757FE" w14:textId="77777777" w:rsidR="00960D29" w:rsidRDefault="00960D29" w:rsidP="005808BA">
      <w:pPr>
        <w:spacing w:after="0" w:line="240" w:lineRule="auto"/>
        <w:jc w:val="both"/>
        <w:rPr>
          <w:rFonts w:ascii="Calibri" w:eastAsia="SimSun" w:hAnsi="Calibri" w:cs="Times New Roman"/>
          <w:sz w:val="18"/>
          <w:szCs w:val="18"/>
          <w:lang w:val="en-US" w:eastAsia="ru-RU"/>
        </w:rPr>
        <w:sectPr w:rsidR="00960D29" w:rsidSect="0048471E">
          <w:pgSz w:w="16838" w:h="11906" w:orient="landscape"/>
          <w:pgMar w:top="1135" w:right="1418" w:bottom="1418" w:left="1418" w:header="709" w:footer="709" w:gutter="0"/>
          <w:cols w:space="708"/>
          <w:docGrid w:linePitch="360"/>
        </w:sectPr>
      </w:pPr>
    </w:p>
    <w:tbl>
      <w:tblPr>
        <w:tblW w:w="14850" w:type="dxa"/>
        <w:tblInd w:w="-95" w:type="dxa"/>
        <w:tblLayout w:type="fixed"/>
        <w:tblLook w:val="04A0" w:firstRow="1" w:lastRow="0" w:firstColumn="1" w:lastColumn="0" w:noHBand="0" w:noVBand="1"/>
      </w:tblPr>
      <w:tblGrid>
        <w:gridCol w:w="1913"/>
        <w:gridCol w:w="984"/>
        <w:gridCol w:w="810"/>
        <w:gridCol w:w="906"/>
        <w:gridCol w:w="990"/>
        <w:gridCol w:w="3037"/>
        <w:gridCol w:w="1260"/>
        <w:gridCol w:w="1080"/>
        <w:gridCol w:w="1170"/>
        <w:gridCol w:w="1170"/>
        <w:gridCol w:w="1530"/>
      </w:tblGrid>
      <w:tr w:rsidR="00BD09E5" w:rsidRPr="005808BA" w14:paraId="18494CAE" w14:textId="1B343F14" w:rsidTr="00532881">
        <w:trPr>
          <w:trHeight w:val="169"/>
        </w:trPr>
        <w:tc>
          <w:tcPr>
            <w:tcW w:w="1913" w:type="dxa"/>
            <w:vMerge w:val="restart"/>
            <w:tcBorders>
              <w:top w:val="single" w:sz="4" w:space="0" w:color="auto"/>
              <w:left w:val="single" w:sz="4" w:space="0" w:color="auto"/>
              <w:right w:val="single" w:sz="4" w:space="0" w:color="auto"/>
            </w:tcBorders>
            <w:noWrap/>
            <w:vAlign w:val="center"/>
          </w:tcPr>
          <w:p w14:paraId="35ABFE28" w14:textId="041ECF67" w:rsidR="00BD09E5" w:rsidRPr="005808BA" w:rsidRDefault="00BD09E5" w:rsidP="00BD09E5">
            <w:pPr>
              <w:spacing w:after="0" w:line="240" w:lineRule="auto"/>
              <w:jc w:val="both"/>
              <w:rPr>
                <w:rFonts w:ascii="Calibri" w:eastAsia="SimSun" w:hAnsi="Calibri" w:cs="Times New Roman"/>
                <w:sz w:val="18"/>
                <w:szCs w:val="18"/>
                <w:lang w:val="en-US" w:eastAsia="ru-RU"/>
              </w:rPr>
            </w:pPr>
            <w:bookmarkStart w:id="30" w:name="OLE_LINK1"/>
          </w:p>
          <w:p w14:paraId="224210A9" w14:textId="1C12D4F3" w:rsidR="00BD09E5" w:rsidRPr="005808BA" w:rsidRDefault="00BD09E5" w:rsidP="00BD09E5">
            <w:pPr>
              <w:spacing w:after="0" w:line="240" w:lineRule="auto"/>
              <w:jc w:val="both"/>
              <w:rPr>
                <w:rFonts w:ascii="Calibri" w:eastAsia="SimSun" w:hAnsi="Calibri" w:cs="Times New Roman"/>
                <w:sz w:val="18"/>
                <w:szCs w:val="18"/>
                <w:lang w:val="en-US" w:eastAsia="ru-RU"/>
              </w:rPr>
            </w:pPr>
            <w:r>
              <w:rPr>
                <w:rFonts w:ascii="Calibri" w:eastAsia="SimSun" w:hAnsi="Calibri" w:cs="Times New Roman"/>
                <w:sz w:val="18"/>
                <w:szCs w:val="18"/>
                <w:lang w:val="en-US" w:eastAsia="ru-RU"/>
              </w:rPr>
              <w:t xml:space="preserve">Component 3 </w:t>
            </w:r>
            <w:r w:rsidRPr="00A17450">
              <w:rPr>
                <w:rFonts w:ascii="Calibri" w:eastAsia="SimSun" w:hAnsi="Calibri" w:cs="Times New Roman"/>
                <w:sz w:val="18"/>
                <w:szCs w:val="18"/>
                <w:lang w:val="en-US" w:eastAsia="ru-RU"/>
              </w:rPr>
              <w:t>Monitoring and Evaluation</w:t>
            </w:r>
          </w:p>
        </w:tc>
        <w:tc>
          <w:tcPr>
            <w:tcW w:w="984" w:type="dxa"/>
            <w:vMerge w:val="restart"/>
            <w:tcBorders>
              <w:top w:val="single" w:sz="4" w:space="0" w:color="auto"/>
              <w:left w:val="nil"/>
              <w:right w:val="single" w:sz="4" w:space="0" w:color="auto"/>
            </w:tcBorders>
            <w:vAlign w:val="center"/>
          </w:tcPr>
          <w:p w14:paraId="5B85EBD9"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NIMOS</w:t>
            </w:r>
          </w:p>
        </w:tc>
        <w:tc>
          <w:tcPr>
            <w:tcW w:w="810" w:type="dxa"/>
            <w:vMerge w:val="restart"/>
            <w:tcBorders>
              <w:top w:val="single" w:sz="4" w:space="0" w:color="auto"/>
              <w:left w:val="nil"/>
              <w:right w:val="single" w:sz="4" w:space="0" w:color="auto"/>
            </w:tcBorders>
            <w:vAlign w:val="center"/>
          </w:tcPr>
          <w:p w14:paraId="3BB5D679"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62000</w:t>
            </w:r>
          </w:p>
        </w:tc>
        <w:tc>
          <w:tcPr>
            <w:tcW w:w="906" w:type="dxa"/>
            <w:vMerge w:val="restart"/>
            <w:tcBorders>
              <w:top w:val="single" w:sz="4" w:space="0" w:color="auto"/>
              <w:left w:val="nil"/>
              <w:right w:val="single" w:sz="4" w:space="0" w:color="auto"/>
            </w:tcBorders>
            <w:noWrap/>
            <w:vAlign w:val="center"/>
          </w:tcPr>
          <w:p w14:paraId="49F1B659"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GEF</w:t>
            </w:r>
          </w:p>
        </w:tc>
        <w:tc>
          <w:tcPr>
            <w:tcW w:w="990" w:type="dxa"/>
            <w:tcBorders>
              <w:top w:val="single" w:sz="4" w:space="0" w:color="auto"/>
              <w:left w:val="nil"/>
              <w:bottom w:val="single" w:sz="4" w:space="0" w:color="auto"/>
              <w:right w:val="single" w:sz="4" w:space="0" w:color="auto"/>
            </w:tcBorders>
            <w:noWrap/>
          </w:tcPr>
          <w:p w14:paraId="58ED5EBB"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w:t>
            </w:r>
            <w:r w:rsidRPr="005808BA">
              <w:rPr>
                <w:rFonts w:ascii="Calibri" w:eastAsia="SimSun" w:hAnsi="Calibri" w:cs="Times New Roman"/>
                <w:sz w:val="18"/>
                <w:szCs w:val="18"/>
                <w:lang w:val="en-US" w:eastAsia="ru-RU"/>
              </w:rPr>
              <w:t>13</w:t>
            </w:r>
            <w:r w:rsidRPr="005808BA">
              <w:rPr>
                <w:rFonts w:ascii="Calibri" w:eastAsia="SimSun" w:hAnsi="Calibri" w:cs="Times New Roman"/>
                <w:sz w:val="18"/>
                <w:szCs w:val="18"/>
                <w:lang w:val="ru-RU" w:eastAsia="ru-RU"/>
              </w:rPr>
              <w:t>00</w:t>
            </w:r>
          </w:p>
        </w:tc>
        <w:tc>
          <w:tcPr>
            <w:tcW w:w="3037" w:type="dxa"/>
            <w:tcBorders>
              <w:top w:val="single" w:sz="4" w:space="0" w:color="auto"/>
              <w:left w:val="nil"/>
              <w:bottom w:val="single" w:sz="4" w:space="0" w:color="auto"/>
              <w:right w:val="single" w:sz="4" w:space="0" w:color="auto"/>
            </w:tcBorders>
            <w:noWrap/>
          </w:tcPr>
          <w:p w14:paraId="25580314" w14:textId="77777777" w:rsidR="00BD09E5" w:rsidRPr="005808BA" w:rsidRDefault="00BD09E5" w:rsidP="00BD09E5">
            <w:pPr>
              <w:spacing w:after="0" w:line="240" w:lineRule="auto"/>
              <w:jc w:val="both"/>
              <w:rPr>
                <w:rFonts w:ascii="Calibri" w:eastAsia="MS Mincho" w:hAnsi="Calibri" w:cs="Times New Roman"/>
                <w:sz w:val="18"/>
                <w:szCs w:val="18"/>
                <w:lang w:val="en-US"/>
              </w:rPr>
            </w:pPr>
            <w:r w:rsidRPr="005808BA">
              <w:rPr>
                <w:rFonts w:ascii="Calibri" w:eastAsia="SimSun" w:hAnsi="Calibri" w:cs="Times New Roman"/>
                <w:sz w:val="18"/>
                <w:szCs w:val="18"/>
                <w:lang w:val="ru-RU" w:eastAsia="ru-RU"/>
              </w:rPr>
              <w:t>Local Consultants</w:t>
            </w:r>
          </w:p>
        </w:tc>
        <w:tc>
          <w:tcPr>
            <w:tcW w:w="1260" w:type="dxa"/>
            <w:tcBorders>
              <w:top w:val="single" w:sz="4" w:space="0" w:color="auto"/>
              <w:left w:val="nil"/>
              <w:bottom w:val="single" w:sz="4" w:space="0" w:color="auto"/>
              <w:right w:val="single" w:sz="4" w:space="0" w:color="auto"/>
            </w:tcBorders>
            <w:shd w:val="clear" w:color="auto" w:fill="FFFFCC"/>
            <w:noWrap/>
          </w:tcPr>
          <w:p w14:paraId="3C7AD342" w14:textId="19803397" w:rsidR="00BD09E5" w:rsidRPr="005808BA" w:rsidRDefault="00BD09E5" w:rsidP="00BD09E5">
            <w:pPr>
              <w:spacing w:after="0" w:line="240" w:lineRule="auto"/>
              <w:jc w:val="right"/>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1</w:t>
            </w:r>
            <w:r>
              <w:rPr>
                <w:rFonts w:ascii="Calibri" w:eastAsia="SimSun" w:hAnsi="Calibri" w:cs="Times New Roman"/>
                <w:sz w:val="18"/>
                <w:szCs w:val="18"/>
                <w:lang w:val="en-US" w:eastAsia="ru-RU"/>
              </w:rPr>
              <w:t>2</w:t>
            </w:r>
            <w:r w:rsidRPr="005808BA">
              <w:rPr>
                <w:rFonts w:ascii="Calibri" w:eastAsia="SimSun" w:hAnsi="Calibri" w:cs="Times New Roman"/>
                <w:sz w:val="18"/>
                <w:szCs w:val="18"/>
                <w:lang w:val="en-US" w:eastAsia="ru-RU"/>
              </w:rPr>
              <w:t>,000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4F075F45" w14:textId="6DCFFC62"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68DEC12A" w14:textId="530AE427"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6,500</w:t>
            </w:r>
          </w:p>
        </w:tc>
        <w:tc>
          <w:tcPr>
            <w:tcW w:w="1170" w:type="dxa"/>
            <w:tcBorders>
              <w:top w:val="single" w:sz="8" w:space="0" w:color="auto"/>
              <w:left w:val="nil"/>
              <w:bottom w:val="single" w:sz="8" w:space="0" w:color="auto"/>
              <w:right w:val="single" w:sz="8" w:space="0" w:color="auto"/>
            </w:tcBorders>
            <w:shd w:val="clear" w:color="auto" w:fill="auto"/>
            <w:vAlign w:val="center"/>
          </w:tcPr>
          <w:p w14:paraId="44A56610" w14:textId="63DF9CA2" w:rsidR="00BD09E5" w:rsidRPr="005808BA" w:rsidRDefault="00BD09E5"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4,500</w:t>
            </w:r>
          </w:p>
        </w:tc>
        <w:tc>
          <w:tcPr>
            <w:tcW w:w="1530" w:type="dxa"/>
            <w:tcBorders>
              <w:top w:val="single" w:sz="4" w:space="0" w:color="auto"/>
              <w:left w:val="nil"/>
              <w:bottom w:val="single" w:sz="4" w:space="0" w:color="auto"/>
              <w:right w:val="single" w:sz="4" w:space="0" w:color="auto"/>
            </w:tcBorders>
          </w:tcPr>
          <w:p w14:paraId="3E64B55D" w14:textId="7701D19D" w:rsidR="00BD09E5" w:rsidRDefault="00BD09E5" w:rsidP="00BD09E5">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H</w:t>
            </w:r>
          </w:p>
        </w:tc>
      </w:tr>
      <w:tr w:rsidR="00BD09E5" w:rsidRPr="005808BA" w14:paraId="2ED9A05E" w14:textId="388E751F" w:rsidTr="00532881">
        <w:tc>
          <w:tcPr>
            <w:tcW w:w="1913" w:type="dxa"/>
            <w:vMerge/>
            <w:tcBorders>
              <w:left w:val="single" w:sz="4" w:space="0" w:color="auto"/>
              <w:right w:val="single" w:sz="4" w:space="0" w:color="auto"/>
            </w:tcBorders>
            <w:noWrap/>
            <w:vAlign w:val="center"/>
          </w:tcPr>
          <w:p w14:paraId="4F0F7305"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vAlign w:val="center"/>
          </w:tcPr>
          <w:p w14:paraId="1EBC6F6B"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right w:val="single" w:sz="4" w:space="0" w:color="auto"/>
            </w:tcBorders>
            <w:vAlign w:val="center"/>
          </w:tcPr>
          <w:p w14:paraId="3E0B253A"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vAlign w:val="center"/>
          </w:tcPr>
          <w:p w14:paraId="4C9FF53E"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2F9016D4"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71600</w:t>
            </w:r>
          </w:p>
        </w:tc>
        <w:tc>
          <w:tcPr>
            <w:tcW w:w="3037" w:type="dxa"/>
            <w:tcBorders>
              <w:top w:val="single" w:sz="4" w:space="0" w:color="auto"/>
              <w:left w:val="nil"/>
              <w:bottom w:val="single" w:sz="4" w:space="0" w:color="auto"/>
              <w:right w:val="single" w:sz="4" w:space="0" w:color="auto"/>
            </w:tcBorders>
            <w:noWrap/>
          </w:tcPr>
          <w:p w14:paraId="45C88B8C" w14:textId="77777777" w:rsidR="00BD09E5" w:rsidRPr="005808BA" w:rsidRDefault="00BD09E5" w:rsidP="00BD09E5">
            <w:pPr>
              <w:spacing w:after="0" w:line="240" w:lineRule="auto"/>
              <w:jc w:val="both"/>
              <w:rPr>
                <w:rFonts w:ascii="Calibri" w:eastAsia="MS Mincho" w:hAnsi="Calibri" w:cs="Times New Roman"/>
                <w:sz w:val="18"/>
                <w:szCs w:val="18"/>
                <w:lang w:val="en-US"/>
              </w:rPr>
            </w:pPr>
            <w:r w:rsidRPr="005808BA">
              <w:rPr>
                <w:rFonts w:ascii="Calibri" w:eastAsia="SimSun" w:hAnsi="Calibri" w:cs="Times New Roman"/>
                <w:sz w:val="18"/>
                <w:szCs w:val="18"/>
                <w:lang w:val="ru-RU" w:eastAsia="ru-RU"/>
              </w:rPr>
              <w:t>Travel</w:t>
            </w:r>
          </w:p>
        </w:tc>
        <w:tc>
          <w:tcPr>
            <w:tcW w:w="1260" w:type="dxa"/>
            <w:tcBorders>
              <w:top w:val="nil"/>
              <w:left w:val="nil"/>
              <w:bottom w:val="single" w:sz="4" w:space="0" w:color="auto"/>
              <w:right w:val="single" w:sz="4" w:space="0" w:color="auto"/>
            </w:tcBorders>
            <w:shd w:val="clear" w:color="auto" w:fill="FFFFCC"/>
            <w:noWrap/>
          </w:tcPr>
          <w:p w14:paraId="399E4D1B" w14:textId="62D3296C"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4,0</w:t>
            </w:r>
            <w:r w:rsidRPr="005808BA">
              <w:rPr>
                <w:rFonts w:ascii="Calibri" w:eastAsia="SimSun" w:hAnsi="Calibri" w:cs="Times New Roman"/>
                <w:sz w:val="18"/>
                <w:szCs w:val="18"/>
                <w:lang w:val="en-US" w:eastAsia="ru-RU"/>
              </w:rPr>
              <w:t>00</w:t>
            </w:r>
          </w:p>
        </w:tc>
        <w:tc>
          <w:tcPr>
            <w:tcW w:w="1080" w:type="dxa"/>
            <w:tcBorders>
              <w:top w:val="nil"/>
              <w:left w:val="nil"/>
              <w:bottom w:val="single" w:sz="8" w:space="0" w:color="auto"/>
              <w:right w:val="single" w:sz="8" w:space="0" w:color="auto"/>
            </w:tcBorders>
            <w:shd w:val="clear" w:color="auto" w:fill="auto"/>
            <w:noWrap/>
            <w:vAlign w:val="center"/>
          </w:tcPr>
          <w:p w14:paraId="0900D715" w14:textId="5BB995C4"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0</w:t>
            </w:r>
          </w:p>
        </w:tc>
        <w:tc>
          <w:tcPr>
            <w:tcW w:w="1170" w:type="dxa"/>
            <w:tcBorders>
              <w:top w:val="nil"/>
              <w:left w:val="nil"/>
              <w:bottom w:val="single" w:sz="8" w:space="0" w:color="auto"/>
              <w:right w:val="single" w:sz="8" w:space="0" w:color="auto"/>
            </w:tcBorders>
            <w:shd w:val="clear" w:color="auto" w:fill="auto"/>
            <w:noWrap/>
            <w:vAlign w:val="center"/>
          </w:tcPr>
          <w:p w14:paraId="0048050B" w14:textId="68FBB292"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2,500</w:t>
            </w:r>
          </w:p>
        </w:tc>
        <w:tc>
          <w:tcPr>
            <w:tcW w:w="1170" w:type="dxa"/>
            <w:tcBorders>
              <w:top w:val="nil"/>
              <w:left w:val="nil"/>
              <w:bottom w:val="single" w:sz="8" w:space="0" w:color="auto"/>
              <w:right w:val="single" w:sz="8" w:space="0" w:color="auto"/>
            </w:tcBorders>
            <w:shd w:val="clear" w:color="auto" w:fill="auto"/>
            <w:vAlign w:val="center"/>
          </w:tcPr>
          <w:p w14:paraId="65F62440" w14:textId="1AFE74FE" w:rsidR="00BD09E5" w:rsidRPr="005808BA" w:rsidRDefault="00BD09E5"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1,500</w:t>
            </w:r>
          </w:p>
        </w:tc>
        <w:tc>
          <w:tcPr>
            <w:tcW w:w="1530" w:type="dxa"/>
            <w:tcBorders>
              <w:top w:val="nil"/>
              <w:left w:val="nil"/>
              <w:bottom w:val="single" w:sz="4" w:space="0" w:color="auto"/>
              <w:right w:val="single" w:sz="4" w:space="0" w:color="auto"/>
            </w:tcBorders>
          </w:tcPr>
          <w:p w14:paraId="4C2FF2EA" w14:textId="5710C2BD" w:rsidR="00BD09E5" w:rsidRDefault="00BD09E5" w:rsidP="00BD09E5">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I</w:t>
            </w:r>
          </w:p>
        </w:tc>
      </w:tr>
      <w:tr w:rsidR="00BD09E5" w:rsidRPr="005808BA" w14:paraId="5030470C" w14:textId="77777777" w:rsidTr="00532881">
        <w:tc>
          <w:tcPr>
            <w:tcW w:w="1913" w:type="dxa"/>
            <w:vMerge/>
            <w:tcBorders>
              <w:left w:val="single" w:sz="4" w:space="0" w:color="auto"/>
              <w:right w:val="single" w:sz="4" w:space="0" w:color="auto"/>
            </w:tcBorders>
            <w:noWrap/>
            <w:vAlign w:val="center"/>
          </w:tcPr>
          <w:p w14:paraId="1008BB11"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vAlign w:val="center"/>
          </w:tcPr>
          <w:p w14:paraId="39FD3758"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right w:val="single" w:sz="4" w:space="0" w:color="auto"/>
            </w:tcBorders>
            <w:vAlign w:val="center"/>
          </w:tcPr>
          <w:p w14:paraId="4240FF57"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p>
        </w:tc>
        <w:tc>
          <w:tcPr>
            <w:tcW w:w="906" w:type="dxa"/>
            <w:vMerge/>
            <w:tcBorders>
              <w:left w:val="nil"/>
              <w:right w:val="single" w:sz="4" w:space="0" w:color="auto"/>
            </w:tcBorders>
            <w:noWrap/>
            <w:vAlign w:val="center"/>
          </w:tcPr>
          <w:p w14:paraId="52907450"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0ACAF463" w14:textId="597DFE24" w:rsidR="00BD09E5" w:rsidRPr="00AA15F8" w:rsidRDefault="00BD09E5" w:rsidP="00BD09E5">
            <w:pPr>
              <w:spacing w:after="0" w:line="240" w:lineRule="auto"/>
              <w:jc w:val="center"/>
              <w:rPr>
                <w:rFonts w:ascii="Calibri" w:eastAsia="SimSun" w:hAnsi="Calibri" w:cs="Times New Roman"/>
                <w:sz w:val="18"/>
                <w:szCs w:val="18"/>
                <w:lang w:val="en-US" w:eastAsia="ru-RU"/>
              </w:rPr>
            </w:pPr>
            <w:r>
              <w:rPr>
                <w:rFonts w:ascii="Calibri" w:eastAsia="SimSun" w:hAnsi="Calibri" w:cs="Times New Roman"/>
                <w:sz w:val="18"/>
                <w:szCs w:val="18"/>
                <w:lang w:val="en-US" w:eastAsia="ru-RU"/>
              </w:rPr>
              <w:t>75700</w:t>
            </w:r>
          </w:p>
        </w:tc>
        <w:tc>
          <w:tcPr>
            <w:tcW w:w="3037" w:type="dxa"/>
            <w:tcBorders>
              <w:top w:val="single" w:sz="4" w:space="0" w:color="auto"/>
              <w:left w:val="nil"/>
              <w:bottom w:val="single" w:sz="4" w:space="0" w:color="auto"/>
              <w:right w:val="single" w:sz="4" w:space="0" w:color="auto"/>
            </w:tcBorders>
            <w:noWrap/>
          </w:tcPr>
          <w:p w14:paraId="270E2CD8" w14:textId="726D31E8" w:rsidR="00BD09E5" w:rsidRPr="00AA15F8" w:rsidRDefault="00BD09E5" w:rsidP="00BD09E5">
            <w:pPr>
              <w:spacing w:after="0" w:line="240" w:lineRule="auto"/>
              <w:jc w:val="both"/>
              <w:rPr>
                <w:rFonts w:ascii="Calibri" w:eastAsia="SimSun" w:hAnsi="Calibri" w:cs="Times New Roman"/>
                <w:sz w:val="18"/>
                <w:szCs w:val="18"/>
                <w:lang w:val="en-US" w:eastAsia="ru-RU"/>
              </w:rPr>
            </w:pPr>
            <w:r>
              <w:rPr>
                <w:rFonts w:ascii="Calibri" w:eastAsia="SimSun" w:hAnsi="Calibri" w:cs="Times New Roman"/>
                <w:sz w:val="18"/>
                <w:szCs w:val="18"/>
                <w:lang w:val="en-US" w:eastAsia="ru-RU"/>
              </w:rPr>
              <w:t>Training, Workshops &amp; Conference</w:t>
            </w:r>
          </w:p>
        </w:tc>
        <w:tc>
          <w:tcPr>
            <w:tcW w:w="1260" w:type="dxa"/>
            <w:tcBorders>
              <w:top w:val="nil"/>
              <w:left w:val="nil"/>
              <w:bottom w:val="single" w:sz="4" w:space="0" w:color="auto"/>
              <w:right w:val="single" w:sz="4" w:space="0" w:color="auto"/>
            </w:tcBorders>
            <w:shd w:val="clear" w:color="auto" w:fill="FFFFCC"/>
            <w:noWrap/>
          </w:tcPr>
          <w:p w14:paraId="65DB1AC1" w14:textId="4CF703A2"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15,500</w:t>
            </w:r>
          </w:p>
        </w:tc>
        <w:tc>
          <w:tcPr>
            <w:tcW w:w="1080" w:type="dxa"/>
            <w:tcBorders>
              <w:top w:val="nil"/>
              <w:left w:val="nil"/>
              <w:bottom w:val="single" w:sz="8" w:space="0" w:color="auto"/>
              <w:right w:val="single" w:sz="8" w:space="0" w:color="auto"/>
            </w:tcBorders>
            <w:shd w:val="clear" w:color="auto" w:fill="auto"/>
            <w:noWrap/>
            <w:vAlign w:val="center"/>
          </w:tcPr>
          <w:p w14:paraId="219E5879" w14:textId="61B22AF7" w:rsidR="00BD09E5"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w:t>
            </w:r>
          </w:p>
        </w:tc>
        <w:tc>
          <w:tcPr>
            <w:tcW w:w="1170" w:type="dxa"/>
            <w:tcBorders>
              <w:top w:val="nil"/>
              <w:left w:val="nil"/>
              <w:bottom w:val="single" w:sz="8" w:space="0" w:color="auto"/>
              <w:right w:val="single" w:sz="8" w:space="0" w:color="auto"/>
            </w:tcBorders>
            <w:shd w:val="clear" w:color="auto" w:fill="auto"/>
            <w:noWrap/>
            <w:vAlign w:val="center"/>
          </w:tcPr>
          <w:p w14:paraId="52B4E52F" w14:textId="3519009E" w:rsidR="00BD09E5"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8,000</w:t>
            </w:r>
          </w:p>
        </w:tc>
        <w:tc>
          <w:tcPr>
            <w:tcW w:w="1170" w:type="dxa"/>
            <w:tcBorders>
              <w:top w:val="nil"/>
              <w:left w:val="nil"/>
              <w:bottom w:val="single" w:sz="8" w:space="0" w:color="auto"/>
              <w:right w:val="single" w:sz="8" w:space="0" w:color="auto"/>
            </w:tcBorders>
            <w:shd w:val="clear" w:color="auto" w:fill="auto"/>
            <w:vAlign w:val="center"/>
          </w:tcPr>
          <w:p w14:paraId="00C92401" w14:textId="2966666E" w:rsidR="00BD09E5" w:rsidDel="00D86992" w:rsidRDefault="00BD09E5"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6,500</w:t>
            </w:r>
          </w:p>
        </w:tc>
        <w:tc>
          <w:tcPr>
            <w:tcW w:w="1530" w:type="dxa"/>
            <w:tcBorders>
              <w:top w:val="nil"/>
              <w:left w:val="nil"/>
              <w:bottom w:val="single" w:sz="4" w:space="0" w:color="auto"/>
              <w:right w:val="single" w:sz="4" w:space="0" w:color="auto"/>
            </w:tcBorders>
          </w:tcPr>
          <w:p w14:paraId="3F76EB5E" w14:textId="11882AD0" w:rsidR="00BD09E5" w:rsidRDefault="00BD09E5" w:rsidP="00BD09E5">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F</w:t>
            </w:r>
          </w:p>
        </w:tc>
      </w:tr>
      <w:tr w:rsidR="00BD09E5" w:rsidRPr="005808BA" w14:paraId="0F629B24" w14:textId="6686CDE0" w:rsidTr="00532881">
        <w:tc>
          <w:tcPr>
            <w:tcW w:w="1913" w:type="dxa"/>
            <w:vMerge/>
            <w:tcBorders>
              <w:left w:val="single" w:sz="4" w:space="0" w:color="auto"/>
              <w:right w:val="single" w:sz="4" w:space="0" w:color="auto"/>
            </w:tcBorders>
            <w:noWrap/>
            <w:vAlign w:val="center"/>
          </w:tcPr>
          <w:p w14:paraId="6DE9F456"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bottom w:val="single" w:sz="4" w:space="0" w:color="auto"/>
              <w:right w:val="single" w:sz="4" w:space="0" w:color="auto"/>
            </w:tcBorders>
            <w:vAlign w:val="center"/>
          </w:tcPr>
          <w:p w14:paraId="434F7E4E"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bottom w:val="single" w:sz="4" w:space="0" w:color="auto"/>
              <w:right w:val="single" w:sz="4" w:space="0" w:color="auto"/>
            </w:tcBorders>
            <w:vAlign w:val="center"/>
          </w:tcPr>
          <w:p w14:paraId="5BAD41F0"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p>
        </w:tc>
        <w:tc>
          <w:tcPr>
            <w:tcW w:w="906" w:type="dxa"/>
            <w:vMerge/>
            <w:tcBorders>
              <w:left w:val="nil"/>
              <w:bottom w:val="single" w:sz="4" w:space="0" w:color="auto"/>
              <w:right w:val="single" w:sz="4" w:space="0" w:color="auto"/>
            </w:tcBorders>
            <w:noWrap/>
            <w:vAlign w:val="center"/>
          </w:tcPr>
          <w:p w14:paraId="20C77898"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p>
        </w:tc>
        <w:tc>
          <w:tcPr>
            <w:tcW w:w="990" w:type="dxa"/>
            <w:tcBorders>
              <w:top w:val="single" w:sz="4" w:space="0" w:color="auto"/>
              <w:left w:val="nil"/>
              <w:bottom w:val="single" w:sz="4" w:space="0" w:color="auto"/>
              <w:right w:val="single" w:sz="4" w:space="0" w:color="auto"/>
            </w:tcBorders>
            <w:noWrap/>
          </w:tcPr>
          <w:p w14:paraId="1F6A21FB"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en-US"/>
              </w:rPr>
              <w:t>74500</w:t>
            </w:r>
          </w:p>
        </w:tc>
        <w:tc>
          <w:tcPr>
            <w:tcW w:w="3037" w:type="dxa"/>
            <w:tcBorders>
              <w:top w:val="single" w:sz="4" w:space="0" w:color="auto"/>
              <w:left w:val="nil"/>
              <w:bottom w:val="single" w:sz="4" w:space="0" w:color="auto"/>
              <w:right w:val="single" w:sz="4" w:space="0" w:color="auto"/>
            </w:tcBorders>
            <w:noWrap/>
          </w:tcPr>
          <w:p w14:paraId="45A66DF4" w14:textId="77777777" w:rsidR="00BD09E5" w:rsidRPr="005808BA" w:rsidRDefault="00BD09E5" w:rsidP="00BD09E5">
            <w:pPr>
              <w:spacing w:after="0" w:line="240" w:lineRule="auto"/>
              <w:jc w:val="both"/>
              <w:rPr>
                <w:rFonts w:ascii="Calibri" w:eastAsia="MS Mincho" w:hAnsi="Calibri" w:cs="Times New Roman"/>
                <w:sz w:val="18"/>
                <w:szCs w:val="18"/>
                <w:lang w:val="en-US"/>
              </w:rPr>
            </w:pPr>
            <w:r w:rsidRPr="005808BA">
              <w:rPr>
                <w:rFonts w:ascii="Calibri" w:eastAsia="SimSun" w:hAnsi="Calibri" w:cs="Times New Roman"/>
                <w:sz w:val="18"/>
                <w:szCs w:val="18"/>
                <w:lang w:val="en-US"/>
              </w:rPr>
              <w:t>Miscellaneous</w:t>
            </w:r>
          </w:p>
        </w:tc>
        <w:tc>
          <w:tcPr>
            <w:tcW w:w="1260" w:type="dxa"/>
            <w:tcBorders>
              <w:top w:val="nil"/>
              <w:left w:val="nil"/>
              <w:bottom w:val="single" w:sz="4" w:space="0" w:color="auto"/>
              <w:right w:val="single" w:sz="4" w:space="0" w:color="auto"/>
            </w:tcBorders>
            <w:shd w:val="clear" w:color="auto" w:fill="FFFFCC"/>
            <w:noWrap/>
          </w:tcPr>
          <w:p w14:paraId="1CD50654" w14:textId="77777777" w:rsidR="00BD09E5" w:rsidRPr="005808BA" w:rsidRDefault="00BD09E5" w:rsidP="00BD09E5">
            <w:pPr>
              <w:spacing w:after="0" w:line="240" w:lineRule="auto"/>
              <w:jc w:val="right"/>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2,500</w:t>
            </w:r>
          </w:p>
        </w:tc>
        <w:tc>
          <w:tcPr>
            <w:tcW w:w="1080" w:type="dxa"/>
            <w:tcBorders>
              <w:top w:val="nil"/>
              <w:left w:val="nil"/>
              <w:bottom w:val="single" w:sz="8" w:space="0" w:color="auto"/>
              <w:right w:val="single" w:sz="8" w:space="0" w:color="auto"/>
            </w:tcBorders>
            <w:shd w:val="clear" w:color="auto" w:fill="auto"/>
            <w:noWrap/>
            <w:vAlign w:val="center"/>
          </w:tcPr>
          <w:p w14:paraId="33609271" w14:textId="1E0DCD07"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0</w:t>
            </w:r>
          </w:p>
        </w:tc>
        <w:tc>
          <w:tcPr>
            <w:tcW w:w="1170" w:type="dxa"/>
            <w:tcBorders>
              <w:top w:val="nil"/>
              <w:left w:val="nil"/>
              <w:bottom w:val="single" w:sz="8" w:space="0" w:color="auto"/>
              <w:right w:val="single" w:sz="8" w:space="0" w:color="auto"/>
            </w:tcBorders>
            <w:shd w:val="clear" w:color="auto" w:fill="auto"/>
            <w:noWrap/>
            <w:vAlign w:val="center"/>
          </w:tcPr>
          <w:p w14:paraId="1ADECF4C" w14:textId="127F5798"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2,000</w:t>
            </w:r>
          </w:p>
        </w:tc>
        <w:tc>
          <w:tcPr>
            <w:tcW w:w="1170" w:type="dxa"/>
            <w:tcBorders>
              <w:top w:val="nil"/>
              <w:left w:val="nil"/>
              <w:bottom w:val="single" w:sz="8" w:space="0" w:color="auto"/>
              <w:right w:val="single" w:sz="8" w:space="0" w:color="auto"/>
            </w:tcBorders>
            <w:shd w:val="clear" w:color="auto" w:fill="auto"/>
            <w:vAlign w:val="center"/>
          </w:tcPr>
          <w:p w14:paraId="70C34CB4" w14:textId="3A5011B9" w:rsidR="00BD09E5" w:rsidRPr="005808BA" w:rsidRDefault="00BD09E5"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500</w:t>
            </w:r>
          </w:p>
        </w:tc>
        <w:tc>
          <w:tcPr>
            <w:tcW w:w="1530" w:type="dxa"/>
            <w:tcBorders>
              <w:top w:val="nil"/>
              <w:left w:val="nil"/>
              <w:bottom w:val="single" w:sz="4" w:space="0" w:color="auto"/>
              <w:right w:val="single" w:sz="4" w:space="0" w:color="auto"/>
            </w:tcBorders>
          </w:tcPr>
          <w:p w14:paraId="5C950688" w14:textId="3828A750" w:rsidR="00BD09E5" w:rsidRDefault="00BD09E5" w:rsidP="00BD09E5">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F</w:t>
            </w:r>
          </w:p>
        </w:tc>
      </w:tr>
      <w:tr w:rsidR="00D86992" w:rsidRPr="005808BA" w14:paraId="3759EB1F" w14:textId="5C28686B" w:rsidTr="00532881">
        <w:tc>
          <w:tcPr>
            <w:tcW w:w="1913" w:type="dxa"/>
            <w:vMerge/>
            <w:tcBorders>
              <w:left w:val="single" w:sz="4" w:space="0" w:color="auto"/>
              <w:bottom w:val="single" w:sz="4" w:space="0" w:color="auto"/>
              <w:right w:val="single" w:sz="4" w:space="0" w:color="auto"/>
            </w:tcBorders>
            <w:noWrap/>
            <w:vAlign w:val="center"/>
          </w:tcPr>
          <w:p w14:paraId="54E67065" w14:textId="77777777" w:rsidR="00D86992" w:rsidRPr="005808BA" w:rsidRDefault="00D86992" w:rsidP="005808BA">
            <w:pPr>
              <w:spacing w:after="0" w:line="240" w:lineRule="auto"/>
              <w:jc w:val="both"/>
              <w:rPr>
                <w:rFonts w:ascii="Calibri" w:eastAsia="SimSun" w:hAnsi="Calibri" w:cs="Times New Roman"/>
                <w:sz w:val="18"/>
                <w:szCs w:val="18"/>
                <w:lang w:val="en-US" w:eastAsia="ru-RU"/>
              </w:rPr>
            </w:pPr>
          </w:p>
        </w:tc>
        <w:tc>
          <w:tcPr>
            <w:tcW w:w="6727" w:type="dxa"/>
            <w:gridSpan w:val="5"/>
            <w:tcBorders>
              <w:top w:val="single" w:sz="4" w:space="0" w:color="auto"/>
              <w:left w:val="nil"/>
              <w:bottom w:val="single" w:sz="4" w:space="0" w:color="auto"/>
              <w:right w:val="single" w:sz="4" w:space="0" w:color="auto"/>
            </w:tcBorders>
            <w:shd w:val="clear" w:color="auto" w:fill="C2FADD"/>
            <w:vAlign w:val="center"/>
          </w:tcPr>
          <w:p w14:paraId="2772B500" w14:textId="159A1D55" w:rsidR="00D86992" w:rsidRPr="005808BA" w:rsidRDefault="00D86992" w:rsidP="005808BA">
            <w:pPr>
              <w:spacing w:after="0" w:line="240" w:lineRule="auto"/>
              <w:jc w:val="both"/>
              <w:rPr>
                <w:rFonts w:ascii="Calibri" w:eastAsia="MS Mincho" w:hAnsi="Calibri" w:cs="Times New Roman"/>
                <w:sz w:val="18"/>
                <w:szCs w:val="18"/>
                <w:lang w:val="en-US"/>
              </w:rPr>
            </w:pPr>
            <w:r w:rsidRPr="005808BA">
              <w:rPr>
                <w:rFonts w:ascii="Calibri" w:eastAsia="SimSun" w:hAnsi="Calibri" w:cs="Times New Roman"/>
                <w:b/>
                <w:bCs/>
                <w:sz w:val="18"/>
                <w:szCs w:val="18"/>
                <w:lang w:val="en-US" w:eastAsia="ru-RU"/>
              </w:rPr>
              <w:t xml:space="preserve">GEF Subtotal Atlas Activity </w:t>
            </w:r>
            <w:r>
              <w:rPr>
                <w:rFonts w:ascii="Calibri" w:eastAsia="SimSun" w:hAnsi="Calibri" w:cs="Times New Roman"/>
                <w:b/>
                <w:bCs/>
                <w:sz w:val="18"/>
                <w:szCs w:val="18"/>
                <w:lang w:val="en-US" w:eastAsia="ru-RU"/>
              </w:rPr>
              <w:t>3</w:t>
            </w:r>
            <w:r w:rsidRPr="005808BA">
              <w:rPr>
                <w:rFonts w:ascii="Calibri" w:eastAsia="SimSun" w:hAnsi="Calibri" w:cs="Times New Roman"/>
                <w:b/>
                <w:bCs/>
                <w:sz w:val="18"/>
                <w:szCs w:val="18"/>
                <w:lang w:val="en-US" w:eastAsia="ru-RU"/>
              </w:rPr>
              <w:t xml:space="preserve"> (Comp </w:t>
            </w:r>
            <w:r>
              <w:rPr>
                <w:rFonts w:ascii="Calibri" w:eastAsia="SimSun" w:hAnsi="Calibri" w:cs="Times New Roman"/>
                <w:b/>
                <w:bCs/>
                <w:sz w:val="18"/>
                <w:szCs w:val="18"/>
                <w:lang w:val="en-US" w:eastAsia="ru-RU"/>
              </w:rPr>
              <w:t>3</w:t>
            </w:r>
            <w:r w:rsidRPr="005808BA">
              <w:rPr>
                <w:rFonts w:ascii="Calibri" w:eastAsia="SimSun" w:hAnsi="Calibri" w:cs="Times New Roman"/>
                <w:b/>
                <w:bCs/>
                <w:sz w:val="18"/>
                <w:szCs w:val="18"/>
                <w:lang w:val="en-US" w:eastAsia="ru-RU"/>
              </w:rPr>
              <w:t>)</w:t>
            </w:r>
            <w:r w:rsidRPr="005808BA">
              <w:rPr>
                <w:rFonts w:ascii="Calibri" w:eastAsia="SimSun" w:hAnsi="Calibri" w:cs="Times New Roman"/>
                <w:sz w:val="18"/>
                <w:szCs w:val="18"/>
                <w:lang w:val="en-US" w:eastAsia="ru-RU"/>
              </w:rPr>
              <w:t> </w:t>
            </w:r>
          </w:p>
        </w:tc>
        <w:tc>
          <w:tcPr>
            <w:tcW w:w="1260" w:type="dxa"/>
            <w:tcBorders>
              <w:top w:val="single" w:sz="4" w:space="0" w:color="auto"/>
              <w:left w:val="nil"/>
              <w:bottom w:val="single" w:sz="4" w:space="0" w:color="auto"/>
              <w:right w:val="single" w:sz="4" w:space="0" w:color="auto"/>
            </w:tcBorders>
            <w:shd w:val="clear" w:color="auto" w:fill="C2FADD"/>
            <w:noWrap/>
          </w:tcPr>
          <w:p w14:paraId="76968076" w14:textId="54640C76" w:rsidR="00D86992" w:rsidRPr="005808BA" w:rsidRDefault="005C2AFA"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34</w:t>
            </w:r>
            <w:r w:rsidR="00D86992" w:rsidRPr="005808BA">
              <w:rPr>
                <w:rFonts w:ascii="Calibri" w:eastAsia="SimSun" w:hAnsi="Calibri" w:cs="Times New Roman"/>
                <w:b/>
                <w:sz w:val="18"/>
                <w:szCs w:val="18"/>
                <w:lang w:val="en-US" w:eastAsia="ru-RU"/>
              </w:rPr>
              <w:t>,000</w:t>
            </w:r>
          </w:p>
        </w:tc>
        <w:tc>
          <w:tcPr>
            <w:tcW w:w="1080" w:type="dxa"/>
            <w:tcBorders>
              <w:top w:val="single" w:sz="4" w:space="0" w:color="auto"/>
              <w:left w:val="nil"/>
              <w:bottom w:val="single" w:sz="4" w:space="0" w:color="auto"/>
              <w:right w:val="single" w:sz="4" w:space="0" w:color="auto"/>
            </w:tcBorders>
            <w:shd w:val="clear" w:color="auto" w:fill="C2FADD"/>
            <w:noWrap/>
          </w:tcPr>
          <w:p w14:paraId="06CB294E" w14:textId="1173FE72" w:rsidR="00D86992" w:rsidRPr="005808BA" w:rsidRDefault="0076760D"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2</w:t>
            </w:r>
            <w:r w:rsidR="00D86992" w:rsidRPr="005808BA">
              <w:rPr>
                <w:rFonts w:ascii="Calibri" w:eastAsia="SimSun" w:hAnsi="Calibri" w:cs="Times New Roman"/>
                <w:b/>
                <w:sz w:val="18"/>
                <w:szCs w:val="18"/>
                <w:lang w:val="en-US" w:eastAsia="ru-RU"/>
              </w:rPr>
              <w:t>,000</w:t>
            </w:r>
          </w:p>
        </w:tc>
        <w:tc>
          <w:tcPr>
            <w:tcW w:w="1170" w:type="dxa"/>
            <w:tcBorders>
              <w:top w:val="single" w:sz="4" w:space="0" w:color="auto"/>
              <w:left w:val="nil"/>
              <w:bottom w:val="single" w:sz="4" w:space="0" w:color="auto"/>
              <w:right w:val="single" w:sz="4" w:space="0" w:color="auto"/>
            </w:tcBorders>
            <w:shd w:val="clear" w:color="auto" w:fill="C2FADD"/>
            <w:noWrap/>
          </w:tcPr>
          <w:p w14:paraId="3AFC4152" w14:textId="3A5D0616" w:rsidR="00D86992" w:rsidRPr="005808BA" w:rsidRDefault="005A46C1"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1</w:t>
            </w:r>
            <w:r w:rsidR="0030743D">
              <w:rPr>
                <w:rFonts w:ascii="Calibri" w:eastAsia="SimSun" w:hAnsi="Calibri" w:cs="Times New Roman"/>
                <w:b/>
                <w:sz w:val="18"/>
                <w:szCs w:val="18"/>
                <w:lang w:val="en-US" w:eastAsia="ru-RU"/>
              </w:rPr>
              <w:t>9</w:t>
            </w:r>
            <w:r w:rsidR="005C2AFA">
              <w:rPr>
                <w:rFonts w:ascii="Calibri" w:eastAsia="SimSun" w:hAnsi="Calibri" w:cs="Times New Roman"/>
                <w:b/>
                <w:sz w:val="18"/>
                <w:szCs w:val="18"/>
                <w:lang w:val="en-US" w:eastAsia="ru-RU"/>
              </w:rPr>
              <w:t>,</w:t>
            </w:r>
            <w:r w:rsidR="00D86992">
              <w:rPr>
                <w:rFonts w:ascii="Calibri" w:eastAsia="SimSun" w:hAnsi="Calibri" w:cs="Times New Roman"/>
                <w:b/>
                <w:sz w:val="18"/>
                <w:szCs w:val="18"/>
                <w:lang w:val="en-US" w:eastAsia="ru-RU"/>
              </w:rPr>
              <w:t>00</w:t>
            </w:r>
            <w:r w:rsidR="00D86992" w:rsidRPr="005808BA">
              <w:rPr>
                <w:rFonts w:ascii="Calibri" w:eastAsia="SimSun" w:hAnsi="Calibri" w:cs="Times New Roman"/>
                <w:b/>
                <w:sz w:val="18"/>
                <w:szCs w:val="18"/>
                <w:lang w:val="en-US" w:eastAsia="ru-RU"/>
              </w:rPr>
              <w:t>0</w:t>
            </w:r>
          </w:p>
        </w:tc>
        <w:tc>
          <w:tcPr>
            <w:tcW w:w="1170" w:type="dxa"/>
            <w:tcBorders>
              <w:top w:val="single" w:sz="4" w:space="0" w:color="auto"/>
              <w:left w:val="nil"/>
              <w:bottom w:val="single" w:sz="4" w:space="0" w:color="auto"/>
              <w:right w:val="single" w:sz="4" w:space="0" w:color="auto"/>
            </w:tcBorders>
            <w:shd w:val="clear" w:color="auto" w:fill="C2FADD"/>
          </w:tcPr>
          <w:p w14:paraId="7A62B22A" w14:textId="3E1BE673" w:rsidR="00D86992" w:rsidRPr="00AA15F8" w:rsidRDefault="005A46C1" w:rsidP="00AA15F8">
            <w:pPr>
              <w:spacing w:after="0" w:line="240" w:lineRule="auto"/>
              <w:jc w:val="right"/>
              <w:rPr>
                <w:rFonts w:ascii="Calibri" w:eastAsia="SimSun" w:hAnsi="Calibri" w:cs="Times New Roman"/>
                <w:b/>
                <w:sz w:val="18"/>
                <w:szCs w:val="18"/>
                <w:lang w:val="en-US"/>
              </w:rPr>
            </w:pPr>
            <w:r w:rsidRPr="00AA15F8">
              <w:rPr>
                <w:rFonts w:ascii="Calibri" w:eastAsia="SimSun" w:hAnsi="Calibri" w:cs="Times New Roman"/>
                <w:b/>
                <w:sz w:val="18"/>
                <w:szCs w:val="18"/>
                <w:lang w:val="en-US"/>
              </w:rPr>
              <w:t>1</w:t>
            </w:r>
            <w:r w:rsidR="0030743D">
              <w:rPr>
                <w:rFonts w:ascii="Calibri" w:eastAsia="SimSun" w:hAnsi="Calibri" w:cs="Times New Roman"/>
                <w:b/>
                <w:sz w:val="18"/>
                <w:szCs w:val="18"/>
                <w:lang w:val="en-US"/>
              </w:rPr>
              <w:t>3</w:t>
            </w:r>
            <w:r>
              <w:rPr>
                <w:rFonts w:ascii="Calibri" w:eastAsia="SimSun" w:hAnsi="Calibri" w:cs="Times New Roman"/>
                <w:b/>
                <w:sz w:val="18"/>
                <w:szCs w:val="18"/>
                <w:lang w:val="en-US"/>
              </w:rPr>
              <w:t>,</w:t>
            </w:r>
            <w:r w:rsidR="0030743D">
              <w:rPr>
                <w:rFonts w:ascii="Calibri" w:eastAsia="SimSun" w:hAnsi="Calibri" w:cs="Times New Roman"/>
                <w:b/>
                <w:sz w:val="18"/>
                <w:szCs w:val="18"/>
                <w:lang w:val="en-US"/>
              </w:rPr>
              <w:t>0</w:t>
            </w:r>
            <w:r w:rsidRPr="00AA15F8">
              <w:rPr>
                <w:rFonts w:ascii="Calibri" w:eastAsia="SimSun" w:hAnsi="Calibri" w:cs="Times New Roman"/>
                <w:b/>
                <w:sz w:val="18"/>
                <w:szCs w:val="18"/>
                <w:lang w:val="en-US"/>
              </w:rPr>
              <w:t>00</w:t>
            </w:r>
          </w:p>
        </w:tc>
        <w:tc>
          <w:tcPr>
            <w:tcW w:w="1530" w:type="dxa"/>
            <w:tcBorders>
              <w:top w:val="single" w:sz="4" w:space="0" w:color="auto"/>
              <w:left w:val="nil"/>
              <w:bottom w:val="single" w:sz="4" w:space="0" w:color="auto"/>
              <w:right w:val="single" w:sz="4" w:space="0" w:color="auto"/>
            </w:tcBorders>
            <w:shd w:val="clear" w:color="auto" w:fill="C2FADD"/>
          </w:tcPr>
          <w:p w14:paraId="153AC8FC" w14:textId="77777777" w:rsidR="00D86992" w:rsidRPr="005808BA" w:rsidRDefault="00D86992" w:rsidP="005808BA">
            <w:pPr>
              <w:spacing w:after="0" w:line="240" w:lineRule="auto"/>
              <w:jc w:val="center"/>
              <w:rPr>
                <w:rFonts w:ascii="Calibri" w:eastAsia="SimSun" w:hAnsi="Calibri" w:cs="Times New Roman"/>
                <w:sz w:val="18"/>
                <w:szCs w:val="18"/>
                <w:lang w:val="en-US"/>
              </w:rPr>
            </w:pPr>
          </w:p>
        </w:tc>
      </w:tr>
      <w:tr w:rsidR="00D86992" w:rsidRPr="005808BA" w14:paraId="28908E70" w14:textId="0B3D258C" w:rsidTr="00532881">
        <w:tc>
          <w:tcPr>
            <w:tcW w:w="8640"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tcPr>
          <w:p w14:paraId="0F9DD377" w14:textId="4E22B985" w:rsidR="00D86992" w:rsidRPr="005808BA" w:rsidRDefault="00D86992" w:rsidP="00A06602">
            <w:pPr>
              <w:spacing w:after="0" w:line="240" w:lineRule="auto"/>
              <w:jc w:val="both"/>
              <w:rPr>
                <w:rFonts w:ascii="Calibri" w:eastAsia="MS Mincho" w:hAnsi="Calibri" w:cs="Times New Roman"/>
                <w:sz w:val="18"/>
                <w:szCs w:val="18"/>
                <w:lang w:val="en-US"/>
              </w:rPr>
            </w:pPr>
            <w:r w:rsidRPr="005808BA">
              <w:rPr>
                <w:rFonts w:ascii="Calibri" w:eastAsia="SimSun" w:hAnsi="Calibri" w:cs="Times New Roman"/>
                <w:b/>
                <w:bCs/>
                <w:sz w:val="18"/>
                <w:szCs w:val="18"/>
                <w:lang w:val="ru-RU" w:eastAsia="ru-RU"/>
              </w:rPr>
              <w:t xml:space="preserve">TOTAL ACTIVITY </w:t>
            </w:r>
            <w:r>
              <w:rPr>
                <w:rFonts w:ascii="Calibri" w:eastAsia="SimSun" w:hAnsi="Calibri" w:cs="Times New Roman"/>
                <w:b/>
                <w:bCs/>
                <w:sz w:val="18"/>
                <w:szCs w:val="18"/>
                <w:lang w:val="en-US" w:eastAsia="ru-RU"/>
              </w:rPr>
              <w:t>3</w:t>
            </w:r>
            <w:r w:rsidRPr="005808BA">
              <w:rPr>
                <w:rFonts w:ascii="Calibri" w:eastAsia="SimSun" w:hAnsi="Calibri" w:cs="Times New Roman"/>
                <w:b/>
                <w:bCs/>
                <w:sz w:val="18"/>
                <w:szCs w:val="18"/>
                <w:lang w:val="ru-RU" w:eastAsia="ru-RU"/>
              </w:rPr>
              <w:t xml:space="preserve"> (Comp </w:t>
            </w:r>
            <w:r>
              <w:rPr>
                <w:rFonts w:ascii="Calibri" w:eastAsia="SimSun" w:hAnsi="Calibri" w:cs="Times New Roman"/>
                <w:b/>
                <w:bCs/>
                <w:sz w:val="18"/>
                <w:szCs w:val="18"/>
                <w:lang w:val="en-US" w:eastAsia="ru-RU"/>
              </w:rPr>
              <w:t>3</w:t>
            </w:r>
            <w:r w:rsidRPr="005808BA">
              <w:rPr>
                <w:rFonts w:ascii="Calibri" w:eastAsia="SimSun" w:hAnsi="Calibri" w:cs="Times New Roman"/>
                <w:b/>
                <w:bCs/>
                <w:sz w:val="18"/>
                <w:szCs w:val="18"/>
                <w:lang w:val="ru-RU" w:eastAsia="ru-RU"/>
              </w:rPr>
              <w:t>)</w:t>
            </w:r>
          </w:p>
        </w:tc>
        <w:tc>
          <w:tcPr>
            <w:tcW w:w="1260" w:type="dxa"/>
            <w:tcBorders>
              <w:top w:val="single" w:sz="4" w:space="0" w:color="auto"/>
              <w:left w:val="nil"/>
              <w:bottom w:val="single" w:sz="4" w:space="0" w:color="auto"/>
              <w:right w:val="single" w:sz="4" w:space="0" w:color="auto"/>
            </w:tcBorders>
            <w:shd w:val="clear" w:color="auto" w:fill="A6A6A6"/>
            <w:noWrap/>
          </w:tcPr>
          <w:p w14:paraId="34C62F7C" w14:textId="2533F644" w:rsidR="00D86992" w:rsidRPr="005808BA" w:rsidRDefault="005C2AFA"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34</w:t>
            </w:r>
            <w:r w:rsidR="00D86992" w:rsidRPr="005808BA">
              <w:rPr>
                <w:rFonts w:ascii="Calibri" w:eastAsia="SimSun" w:hAnsi="Calibri" w:cs="Times New Roman"/>
                <w:b/>
                <w:sz w:val="18"/>
                <w:szCs w:val="18"/>
                <w:lang w:val="en-US" w:eastAsia="ru-RU"/>
              </w:rPr>
              <w:t>,000</w:t>
            </w:r>
          </w:p>
        </w:tc>
        <w:tc>
          <w:tcPr>
            <w:tcW w:w="1080" w:type="dxa"/>
            <w:tcBorders>
              <w:top w:val="single" w:sz="4" w:space="0" w:color="auto"/>
              <w:left w:val="nil"/>
              <w:bottom w:val="single" w:sz="4" w:space="0" w:color="auto"/>
              <w:right w:val="single" w:sz="4" w:space="0" w:color="auto"/>
            </w:tcBorders>
            <w:shd w:val="clear" w:color="auto" w:fill="A6A6A6"/>
            <w:noWrap/>
          </w:tcPr>
          <w:p w14:paraId="321864D1" w14:textId="7516CB56" w:rsidR="00D86992" w:rsidRPr="005808BA" w:rsidRDefault="0076760D"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2</w:t>
            </w:r>
            <w:r w:rsidR="00D86992" w:rsidRPr="005808BA">
              <w:rPr>
                <w:rFonts w:ascii="Calibri" w:eastAsia="SimSun" w:hAnsi="Calibri" w:cs="Times New Roman"/>
                <w:b/>
                <w:sz w:val="18"/>
                <w:szCs w:val="18"/>
                <w:lang w:val="en-US" w:eastAsia="ru-RU"/>
              </w:rPr>
              <w:t>,000</w:t>
            </w:r>
          </w:p>
        </w:tc>
        <w:tc>
          <w:tcPr>
            <w:tcW w:w="1170" w:type="dxa"/>
            <w:tcBorders>
              <w:top w:val="single" w:sz="4" w:space="0" w:color="auto"/>
              <w:left w:val="nil"/>
              <w:bottom w:val="single" w:sz="4" w:space="0" w:color="auto"/>
              <w:right w:val="single" w:sz="4" w:space="0" w:color="auto"/>
            </w:tcBorders>
            <w:shd w:val="clear" w:color="auto" w:fill="A6A6A6"/>
            <w:noWrap/>
          </w:tcPr>
          <w:p w14:paraId="6CE06550" w14:textId="01D3AE69" w:rsidR="00D86992" w:rsidRPr="005808BA" w:rsidRDefault="005A46C1"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1</w:t>
            </w:r>
            <w:r w:rsidR="0030743D">
              <w:rPr>
                <w:rFonts w:ascii="Calibri" w:eastAsia="SimSun" w:hAnsi="Calibri" w:cs="Times New Roman"/>
                <w:b/>
                <w:sz w:val="18"/>
                <w:szCs w:val="18"/>
                <w:lang w:val="en-US" w:eastAsia="ru-RU"/>
              </w:rPr>
              <w:t>9</w:t>
            </w:r>
            <w:r w:rsidR="005C2AFA">
              <w:rPr>
                <w:rFonts w:ascii="Calibri" w:eastAsia="SimSun" w:hAnsi="Calibri" w:cs="Times New Roman"/>
                <w:b/>
                <w:sz w:val="18"/>
                <w:szCs w:val="18"/>
                <w:lang w:val="en-US" w:eastAsia="ru-RU"/>
              </w:rPr>
              <w:t>,</w:t>
            </w:r>
            <w:r w:rsidR="00D86992">
              <w:rPr>
                <w:rFonts w:ascii="Calibri" w:eastAsia="SimSun" w:hAnsi="Calibri" w:cs="Times New Roman"/>
                <w:b/>
                <w:sz w:val="18"/>
                <w:szCs w:val="18"/>
                <w:lang w:val="en-US" w:eastAsia="ru-RU"/>
              </w:rPr>
              <w:t>00</w:t>
            </w:r>
            <w:r w:rsidR="00D86992" w:rsidRPr="005808BA">
              <w:rPr>
                <w:rFonts w:ascii="Calibri" w:eastAsia="SimSun" w:hAnsi="Calibri" w:cs="Times New Roman"/>
                <w:b/>
                <w:sz w:val="18"/>
                <w:szCs w:val="18"/>
                <w:lang w:val="en-US" w:eastAsia="ru-RU"/>
              </w:rPr>
              <w:t>0</w:t>
            </w:r>
          </w:p>
        </w:tc>
        <w:tc>
          <w:tcPr>
            <w:tcW w:w="1170" w:type="dxa"/>
            <w:tcBorders>
              <w:top w:val="single" w:sz="4" w:space="0" w:color="auto"/>
              <w:left w:val="nil"/>
              <w:bottom w:val="single" w:sz="4" w:space="0" w:color="auto"/>
              <w:right w:val="single" w:sz="4" w:space="0" w:color="auto"/>
            </w:tcBorders>
            <w:shd w:val="clear" w:color="auto" w:fill="A6A6A6"/>
          </w:tcPr>
          <w:p w14:paraId="779BA186" w14:textId="09ED24D1" w:rsidR="00D86992" w:rsidRPr="00AA15F8" w:rsidRDefault="005A46C1" w:rsidP="00AA15F8">
            <w:pPr>
              <w:spacing w:after="0" w:line="240" w:lineRule="auto"/>
              <w:jc w:val="right"/>
              <w:rPr>
                <w:rFonts w:ascii="Calibri" w:eastAsia="SimSun" w:hAnsi="Calibri" w:cs="Times New Roman"/>
                <w:b/>
                <w:sz w:val="18"/>
                <w:szCs w:val="18"/>
                <w:lang w:val="en-US"/>
              </w:rPr>
            </w:pPr>
            <w:r w:rsidRPr="00AA15F8">
              <w:rPr>
                <w:rFonts w:ascii="Calibri" w:eastAsia="SimSun" w:hAnsi="Calibri" w:cs="Times New Roman"/>
                <w:b/>
                <w:sz w:val="18"/>
                <w:szCs w:val="18"/>
                <w:lang w:val="en-US"/>
              </w:rPr>
              <w:t>1</w:t>
            </w:r>
            <w:r w:rsidR="0030743D">
              <w:rPr>
                <w:rFonts w:ascii="Calibri" w:eastAsia="SimSun" w:hAnsi="Calibri" w:cs="Times New Roman"/>
                <w:b/>
                <w:sz w:val="18"/>
                <w:szCs w:val="18"/>
                <w:lang w:val="en-US"/>
              </w:rPr>
              <w:t>3</w:t>
            </w:r>
            <w:r w:rsidRPr="00AA15F8">
              <w:rPr>
                <w:rFonts w:ascii="Calibri" w:eastAsia="SimSun" w:hAnsi="Calibri" w:cs="Times New Roman"/>
                <w:b/>
                <w:sz w:val="18"/>
                <w:szCs w:val="18"/>
                <w:lang w:val="en-US"/>
              </w:rPr>
              <w:t>,</w:t>
            </w:r>
            <w:r w:rsidR="0030743D">
              <w:rPr>
                <w:rFonts w:ascii="Calibri" w:eastAsia="SimSun" w:hAnsi="Calibri" w:cs="Times New Roman"/>
                <w:b/>
                <w:sz w:val="18"/>
                <w:szCs w:val="18"/>
                <w:lang w:val="en-US"/>
              </w:rPr>
              <w:t>0</w:t>
            </w:r>
            <w:r w:rsidRPr="00AA15F8">
              <w:rPr>
                <w:rFonts w:ascii="Calibri" w:eastAsia="SimSun" w:hAnsi="Calibri" w:cs="Times New Roman"/>
                <w:b/>
                <w:sz w:val="18"/>
                <w:szCs w:val="18"/>
                <w:lang w:val="en-US"/>
              </w:rPr>
              <w:t>00</w:t>
            </w:r>
          </w:p>
        </w:tc>
        <w:tc>
          <w:tcPr>
            <w:tcW w:w="1530" w:type="dxa"/>
            <w:tcBorders>
              <w:top w:val="single" w:sz="4" w:space="0" w:color="auto"/>
              <w:left w:val="nil"/>
              <w:bottom w:val="single" w:sz="4" w:space="0" w:color="auto"/>
              <w:right w:val="single" w:sz="4" w:space="0" w:color="auto"/>
            </w:tcBorders>
            <w:shd w:val="clear" w:color="auto" w:fill="A6A6A6"/>
          </w:tcPr>
          <w:p w14:paraId="43D60F9A" w14:textId="77777777" w:rsidR="00D86992" w:rsidRPr="005808BA" w:rsidRDefault="00D86992" w:rsidP="005808BA">
            <w:pPr>
              <w:spacing w:after="0" w:line="240" w:lineRule="auto"/>
              <w:jc w:val="center"/>
              <w:rPr>
                <w:rFonts w:ascii="Calibri" w:eastAsia="SimSun" w:hAnsi="Calibri" w:cs="Times New Roman"/>
                <w:sz w:val="18"/>
                <w:szCs w:val="18"/>
                <w:lang w:val="en-US"/>
              </w:rPr>
            </w:pPr>
          </w:p>
        </w:tc>
      </w:tr>
      <w:tr w:rsidR="00BD09E5" w:rsidRPr="005808BA" w14:paraId="5D2C7F27" w14:textId="06215314" w:rsidTr="00532881">
        <w:tc>
          <w:tcPr>
            <w:tcW w:w="1913" w:type="dxa"/>
            <w:vMerge w:val="restart"/>
            <w:tcBorders>
              <w:top w:val="single" w:sz="4" w:space="0" w:color="auto"/>
              <w:left w:val="single" w:sz="4" w:space="0" w:color="auto"/>
              <w:right w:val="single" w:sz="4" w:space="0" w:color="auto"/>
            </w:tcBorders>
            <w:noWrap/>
            <w:vAlign w:val="center"/>
            <w:hideMark/>
          </w:tcPr>
          <w:p w14:paraId="4CB522CC"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Project Management</w:t>
            </w:r>
          </w:p>
        </w:tc>
        <w:tc>
          <w:tcPr>
            <w:tcW w:w="984" w:type="dxa"/>
            <w:vMerge w:val="restart"/>
            <w:tcBorders>
              <w:top w:val="single" w:sz="4" w:space="0" w:color="auto"/>
              <w:left w:val="nil"/>
              <w:right w:val="single" w:sz="4" w:space="0" w:color="auto"/>
            </w:tcBorders>
            <w:vAlign w:val="center"/>
            <w:hideMark/>
          </w:tcPr>
          <w:p w14:paraId="5C04CA38"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NIMOS</w:t>
            </w:r>
          </w:p>
        </w:tc>
        <w:tc>
          <w:tcPr>
            <w:tcW w:w="810" w:type="dxa"/>
            <w:vMerge w:val="restart"/>
            <w:tcBorders>
              <w:top w:val="single" w:sz="4" w:space="0" w:color="auto"/>
              <w:left w:val="nil"/>
              <w:right w:val="single" w:sz="4" w:space="0" w:color="auto"/>
            </w:tcBorders>
            <w:vAlign w:val="center"/>
          </w:tcPr>
          <w:p w14:paraId="3ECEA594" w14:textId="77777777" w:rsidR="00BD09E5" w:rsidRPr="005808BA" w:rsidRDefault="00BD09E5" w:rsidP="00BD09E5">
            <w:pPr>
              <w:spacing w:after="0" w:line="240" w:lineRule="auto"/>
              <w:jc w:val="center"/>
              <w:rPr>
                <w:rFonts w:ascii="Calibri" w:eastAsia="SimSun" w:hAnsi="Calibri" w:cs="Times New Roman"/>
                <w:sz w:val="18"/>
                <w:szCs w:val="18"/>
                <w:lang w:val="es-ES" w:eastAsia="ru-RU"/>
              </w:rPr>
            </w:pPr>
            <w:r w:rsidRPr="005808BA">
              <w:rPr>
                <w:rFonts w:ascii="Calibri" w:eastAsia="SimSun" w:hAnsi="Calibri" w:cs="Times New Roman"/>
                <w:sz w:val="18"/>
                <w:szCs w:val="18"/>
                <w:lang w:val="es-ES" w:eastAsia="ru-RU"/>
              </w:rPr>
              <w:t>62000</w:t>
            </w:r>
          </w:p>
        </w:tc>
        <w:tc>
          <w:tcPr>
            <w:tcW w:w="906" w:type="dxa"/>
            <w:vMerge w:val="restart"/>
            <w:tcBorders>
              <w:top w:val="single" w:sz="4" w:space="0" w:color="auto"/>
              <w:left w:val="nil"/>
              <w:right w:val="single" w:sz="4" w:space="0" w:color="auto"/>
            </w:tcBorders>
            <w:noWrap/>
            <w:vAlign w:val="center"/>
          </w:tcPr>
          <w:p w14:paraId="18B2F370" w14:textId="77777777" w:rsidR="00BD09E5" w:rsidRPr="005808BA" w:rsidRDefault="00BD09E5" w:rsidP="00BD09E5">
            <w:pPr>
              <w:spacing w:after="0" w:line="240" w:lineRule="auto"/>
              <w:jc w:val="center"/>
              <w:rPr>
                <w:rFonts w:ascii="Calibri" w:eastAsia="SimSun" w:hAnsi="Calibri" w:cs="Times New Roman"/>
                <w:sz w:val="18"/>
                <w:szCs w:val="18"/>
                <w:lang w:val="es-ES" w:eastAsia="ru-RU"/>
              </w:rPr>
            </w:pPr>
            <w:r w:rsidRPr="005808BA">
              <w:rPr>
                <w:rFonts w:ascii="Calibri" w:eastAsia="SimSun" w:hAnsi="Calibri" w:cs="Times New Roman"/>
                <w:sz w:val="18"/>
                <w:szCs w:val="18"/>
                <w:lang w:val="es-ES" w:eastAsia="ru-RU"/>
              </w:rPr>
              <w:t>GEF</w:t>
            </w:r>
          </w:p>
        </w:tc>
        <w:tc>
          <w:tcPr>
            <w:tcW w:w="990" w:type="dxa"/>
            <w:tcBorders>
              <w:top w:val="single" w:sz="4" w:space="0" w:color="auto"/>
              <w:left w:val="nil"/>
              <w:bottom w:val="single" w:sz="4" w:space="0" w:color="auto"/>
              <w:right w:val="single" w:sz="4" w:space="0" w:color="auto"/>
            </w:tcBorders>
            <w:noWrap/>
            <w:hideMark/>
          </w:tcPr>
          <w:p w14:paraId="2431CCE8" w14:textId="77777777" w:rsidR="00BD09E5" w:rsidRPr="005808BA" w:rsidRDefault="00BD09E5" w:rsidP="00BD09E5">
            <w:pPr>
              <w:spacing w:after="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71800</w:t>
            </w:r>
          </w:p>
        </w:tc>
        <w:tc>
          <w:tcPr>
            <w:tcW w:w="3037" w:type="dxa"/>
            <w:tcBorders>
              <w:top w:val="single" w:sz="4" w:space="0" w:color="auto"/>
              <w:left w:val="nil"/>
              <w:bottom w:val="single" w:sz="4" w:space="0" w:color="auto"/>
              <w:right w:val="single" w:sz="4" w:space="0" w:color="auto"/>
            </w:tcBorders>
            <w:noWrap/>
            <w:hideMark/>
          </w:tcPr>
          <w:p w14:paraId="258EA31F" w14:textId="77777777" w:rsidR="00BD09E5" w:rsidRPr="005808BA" w:rsidRDefault="00BD09E5" w:rsidP="00BD09E5">
            <w:pPr>
              <w:spacing w:after="0" w:line="240" w:lineRule="auto"/>
              <w:jc w:val="both"/>
              <w:rPr>
                <w:rFonts w:ascii="Calibri" w:eastAsia="SimSun" w:hAnsi="Calibri" w:cs="Times New Roman"/>
                <w:sz w:val="18"/>
                <w:szCs w:val="18"/>
                <w:lang w:val="ru-RU" w:eastAsia="ru-RU"/>
              </w:rPr>
            </w:pPr>
            <w:r w:rsidRPr="005808BA">
              <w:rPr>
                <w:rFonts w:ascii="Calibri" w:eastAsia="MS Mincho" w:hAnsi="Calibri" w:cs="Times New Roman"/>
                <w:sz w:val="18"/>
                <w:szCs w:val="18"/>
                <w:lang w:val="en-US"/>
              </w:rPr>
              <w:t>Contractual Services – Implementing Partner</w:t>
            </w:r>
          </w:p>
        </w:tc>
        <w:tc>
          <w:tcPr>
            <w:tcW w:w="1260" w:type="dxa"/>
            <w:tcBorders>
              <w:top w:val="single" w:sz="4" w:space="0" w:color="auto"/>
              <w:left w:val="nil"/>
              <w:bottom w:val="single" w:sz="4" w:space="0" w:color="auto"/>
              <w:right w:val="single" w:sz="4" w:space="0" w:color="auto"/>
            </w:tcBorders>
            <w:shd w:val="clear" w:color="auto" w:fill="FFFFCC"/>
            <w:noWrap/>
            <w:hideMark/>
          </w:tcPr>
          <w:p w14:paraId="6C1490A2" w14:textId="679EC829"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1</w:t>
            </w:r>
            <w:r w:rsidR="00E51413">
              <w:rPr>
                <w:rFonts w:ascii="Calibri" w:eastAsia="SimSun" w:hAnsi="Calibri" w:cs="Times New Roman"/>
                <w:sz w:val="18"/>
                <w:szCs w:val="18"/>
                <w:lang w:val="en-US" w:eastAsia="ru-RU"/>
              </w:rPr>
              <w:t>9</w:t>
            </w:r>
            <w:r w:rsidRPr="005808BA">
              <w:rPr>
                <w:rFonts w:ascii="Calibri" w:eastAsia="SimSun" w:hAnsi="Calibri" w:cs="Times New Roman"/>
                <w:sz w:val="18"/>
                <w:szCs w:val="18"/>
                <w:lang w:val="en-US" w:eastAsia="ru-RU"/>
              </w:rPr>
              <w:t>,</w:t>
            </w:r>
            <w:r>
              <w:rPr>
                <w:rFonts w:ascii="Calibri" w:eastAsia="SimSun" w:hAnsi="Calibri" w:cs="Times New Roman"/>
                <w:sz w:val="18"/>
                <w:szCs w:val="18"/>
                <w:lang w:val="en-US" w:eastAsia="ru-RU"/>
              </w:rPr>
              <w:t>5</w:t>
            </w:r>
            <w:r w:rsidRPr="005808BA">
              <w:rPr>
                <w:rFonts w:ascii="Calibri" w:eastAsia="SimSun" w:hAnsi="Calibri" w:cs="Times New Roman"/>
                <w:sz w:val="18"/>
                <w:szCs w:val="18"/>
                <w:lang w:val="en-US" w:eastAsia="ru-RU"/>
              </w:rPr>
              <w:t>00</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BFD95C7" w14:textId="4E4E9D7A"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0</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A67E81A" w14:textId="4EFE701E"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16,500</w:t>
            </w:r>
          </w:p>
        </w:tc>
        <w:tc>
          <w:tcPr>
            <w:tcW w:w="1170" w:type="dxa"/>
            <w:tcBorders>
              <w:top w:val="single" w:sz="8" w:space="0" w:color="auto"/>
              <w:left w:val="nil"/>
              <w:bottom w:val="single" w:sz="8" w:space="0" w:color="auto"/>
              <w:right w:val="single" w:sz="8" w:space="0" w:color="auto"/>
            </w:tcBorders>
            <w:shd w:val="clear" w:color="auto" w:fill="auto"/>
            <w:vAlign w:val="center"/>
          </w:tcPr>
          <w:p w14:paraId="7F40348A" w14:textId="1220115B" w:rsidR="00BD09E5" w:rsidRPr="005808BA" w:rsidRDefault="00BD09E5" w:rsidP="00AA15F8">
            <w:pPr>
              <w:spacing w:after="0" w:line="240" w:lineRule="auto"/>
              <w:jc w:val="right"/>
              <w:rPr>
                <w:rFonts w:ascii="Calibri" w:eastAsia="SimSun" w:hAnsi="Calibri" w:cs="Times New Roman"/>
                <w:sz w:val="18"/>
                <w:szCs w:val="18"/>
                <w:lang w:val="en-US"/>
              </w:rPr>
            </w:pPr>
            <w:r>
              <w:rPr>
                <w:rFonts w:ascii="Calibri" w:hAnsi="Calibri"/>
                <w:color w:val="000000"/>
                <w:sz w:val="18"/>
                <w:szCs w:val="18"/>
              </w:rPr>
              <w:t>3,000</w:t>
            </w:r>
          </w:p>
        </w:tc>
        <w:tc>
          <w:tcPr>
            <w:tcW w:w="1530" w:type="dxa"/>
            <w:tcBorders>
              <w:top w:val="single" w:sz="4" w:space="0" w:color="auto"/>
              <w:left w:val="nil"/>
              <w:bottom w:val="single" w:sz="4" w:space="0" w:color="auto"/>
              <w:right w:val="single" w:sz="4" w:space="0" w:color="auto"/>
            </w:tcBorders>
          </w:tcPr>
          <w:p w14:paraId="477CC85C" w14:textId="1D4BD584" w:rsidR="00BD09E5" w:rsidRDefault="00BD09E5" w:rsidP="00BD09E5">
            <w:pPr>
              <w:spacing w:after="0" w:line="240" w:lineRule="auto"/>
              <w:jc w:val="center"/>
              <w:rPr>
                <w:rFonts w:ascii="Calibri" w:eastAsia="SimSun" w:hAnsi="Calibri" w:cs="Times New Roman"/>
                <w:sz w:val="18"/>
                <w:szCs w:val="18"/>
                <w:lang w:val="en-US"/>
              </w:rPr>
            </w:pPr>
            <w:r>
              <w:rPr>
                <w:rFonts w:ascii="Calibri" w:eastAsia="SimSun" w:hAnsi="Calibri" w:cs="Times New Roman"/>
                <w:sz w:val="18"/>
                <w:szCs w:val="18"/>
                <w:lang w:val="en-US"/>
              </w:rPr>
              <w:t>J</w:t>
            </w:r>
          </w:p>
        </w:tc>
      </w:tr>
      <w:tr w:rsidR="00BD09E5" w:rsidRPr="005808BA" w14:paraId="1520B07E" w14:textId="191F3DB4" w:rsidTr="00532881">
        <w:tc>
          <w:tcPr>
            <w:tcW w:w="1913" w:type="dxa"/>
            <w:vMerge/>
            <w:tcBorders>
              <w:top w:val="nil"/>
              <w:left w:val="single" w:sz="4" w:space="0" w:color="auto"/>
              <w:right w:val="single" w:sz="4" w:space="0" w:color="auto"/>
            </w:tcBorders>
            <w:noWrap/>
            <w:vAlign w:val="center"/>
          </w:tcPr>
          <w:p w14:paraId="0F16E01A"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tcPr>
          <w:p w14:paraId="7B9FEC41"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right w:val="single" w:sz="4" w:space="0" w:color="auto"/>
            </w:tcBorders>
          </w:tcPr>
          <w:p w14:paraId="41377D43"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06" w:type="dxa"/>
            <w:vMerge/>
            <w:tcBorders>
              <w:left w:val="nil"/>
              <w:right w:val="single" w:sz="4" w:space="0" w:color="auto"/>
            </w:tcBorders>
            <w:noWrap/>
          </w:tcPr>
          <w:p w14:paraId="08CD52BA"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90" w:type="dxa"/>
            <w:tcBorders>
              <w:top w:val="single" w:sz="4" w:space="0" w:color="auto"/>
              <w:left w:val="nil"/>
              <w:bottom w:val="single" w:sz="4" w:space="0" w:color="auto"/>
              <w:right w:val="single" w:sz="4" w:space="0" w:color="auto"/>
            </w:tcBorders>
            <w:noWrap/>
          </w:tcPr>
          <w:p w14:paraId="47EB65D0" w14:textId="5171AA2E" w:rsidR="00BD09E5" w:rsidRPr="005808BA" w:rsidRDefault="00532881" w:rsidP="00BD09E5">
            <w:pPr>
              <w:spacing w:after="0" w:line="240" w:lineRule="auto"/>
              <w:jc w:val="center"/>
              <w:rPr>
                <w:rFonts w:ascii="Calibri" w:eastAsia="SimSun" w:hAnsi="Calibri" w:cs="Times New Roman"/>
                <w:sz w:val="18"/>
                <w:szCs w:val="18"/>
                <w:lang w:val="en-US" w:eastAsia="ru-RU"/>
              </w:rPr>
            </w:pPr>
            <w:r w:rsidRPr="00532881">
              <w:rPr>
                <w:rFonts w:ascii="Calibri" w:eastAsia="SimSun" w:hAnsi="Calibri" w:cs="Times New Roman"/>
                <w:sz w:val="18"/>
                <w:szCs w:val="18"/>
                <w:lang w:val="en-US" w:eastAsia="ru-RU"/>
              </w:rPr>
              <w:t>74596</w:t>
            </w:r>
          </w:p>
        </w:tc>
        <w:tc>
          <w:tcPr>
            <w:tcW w:w="3037" w:type="dxa"/>
            <w:tcBorders>
              <w:top w:val="single" w:sz="4" w:space="0" w:color="auto"/>
              <w:left w:val="nil"/>
              <w:bottom w:val="single" w:sz="4" w:space="0" w:color="auto"/>
              <w:right w:val="single" w:sz="4" w:space="0" w:color="auto"/>
            </w:tcBorders>
            <w:noWrap/>
          </w:tcPr>
          <w:p w14:paraId="2CADB7E7"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Direct Project Costs</w:t>
            </w:r>
          </w:p>
        </w:tc>
        <w:tc>
          <w:tcPr>
            <w:tcW w:w="1260" w:type="dxa"/>
            <w:tcBorders>
              <w:top w:val="nil"/>
              <w:left w:val="nil"/>
              <w:bottom w:val="single" w:sz="4" w:space="0" w:color="auto"/>
              <w:right w:val="single" w:sz="4" w:space="0" w:color="auto"/>
            </w:tcBorders>
            <w:shd w:val="clear" w:color="auto" w:fill="FFFFCC"/>
            <w:noWrap/>
          </w:tcPr>
          <w:p w14:paraId="1F74DC81" w14:textId="50F7B6F4"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7,5</w:t>
            </w:r>
            <w:r w:rsidRPr="005808BA">
              <w:rPr>
                <w:rFonts w:ascii="Calibri" w:eastAsia="SimSun" w:hAnsi="Calibri" w:cs="Times New Roman"/>
                <w:sz w:val="18"/>
                <w:szCs w:val="18"/>
                <w:lang w:val="en-US" w:eastAsia="ru-RU"/>
              </w:rPr>
              <w:t>00</w:t>
            </w:r>
          </w:p>
        </w:tc>
        <w:tc>
          <w:tcPr>
            <w:tcW w:w="1080" w:type="dxa"/>
            <w:tcBorders>
              <w:top w:val="nil"/>
              <w:left w:val="nil"/>
              <w:bottom w:val="single" w:sz="8" w:space="0" w:color="auto"/>
              <w:right w:val="single" w:sz="8" w:space="0" w:color="auto"/>
            </w:tcBorders>
            <w:shd w:val="clear" w:color="auto" w:fill="auto"/>
            <w:noWrap/>
            <w:vAlign w:val="center"/>
          </w:tcPr>
          <w:p w14:paraId="613C148E" w14:textId="73469D75"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3,000</w:t>
            </w:r>
          </w:p>
        </w:tc>
        <w:tc>
          <w:tcPr>
            <w:tcW w:w="1170" w:type="dxa"/>
            <w:tcBorders>
              <w:top w:val="nil"/>
              <w:left w:val="nil"/>
              <w:bottom w:val="single" w:sz="8" w:space="0" w:color="auto"/>
              <w:right w:val="single" w:sz="8" w:space="0" w:color="auto"/>
            </w:tcBorders>
            <w:shd w:val="clear" w:color="auto" w:fill="auto"/>
            <w:noWrap/>
            <w:vAlign w:val="center"/>
          </w:tcPr>
          <w:p w14:paraId="58ED87AA" w14:textId="78603B81"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3,000</w:t>
            </w:r>
          </w:p>
        </w:tc>
        <w:tc>
          <w:tcPr>
            <w:tcW w:w="1170" w:type="dxa"/>
            <w:tcBorders>
              <w:top w:val="nil"/>
              <w:left w:val="nil"/>
              <w:bottom w:val="single" w:sz="8" w:space="0" w:color="auto"/>
              <w:right w:val="single" w:sz="8" w:space="0" w:color="auto"/>
            </w:tcBorders>
            <w:shd w:val="clear" w:color="auto" w:fill="auto"/>
            <w:vAlign w:val="center"/>
          </w:tcPr>
          <w:p w14:paraId="2B7A7D2B" w14:textId="1ED7C617" w:rsidR="00BD09E5" w:rsidRPr="005808BA" w:rsidRDefault="00BD09E5" w:rsidP="00AA15F8">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1,500</w:t>
            </w:r>
          </w:p>
        </w:tc>
        <w:tc>
          <w:tcPr>
            <w:tcW w:w="1530" w:type="dxa"/>
            <w:tcBorders>
              <w:top w:val="nil"/>
              <w:left w:val="nil"/>
              <w:bottom w:val="single" w:sz="4" w:space="0" w:color="auto"/>
              <w:right w:val="single" w:sz="4" w:space="0" w:color="auto"/>
            </w:tcBorders>
          </w:tcPr>
          <w:p w14:paraId="5E8ED26B" w14:textId="49BC31E9" w:rsidR="00BD09E5" w:rsidRDefault="00BD09E5" w:rsidP="00BD09E5">
            <w:pPr>
              <w:spacing w:after="0" w:line="240" w:lineRule="auto"/>
              <w:jc w:val="center"/>
              <w:rPr>
                <w:rFonts w:ascii="Calibri" w:eastAsia="SimSun" w:hAnsi="Calibri" w:cs="Times New Roman"/>
                <w:sz w:val="18"/>
                <w:szCs w:val="18"/>
                <w:lang w:val="en-US" w:eastAsia="ru-RU"/>
              </w:rPr>
            </w:pPr>
            <w:r>
              <w:rPr>
                <w:rFonts w:ascii="Calibri" w:eastAsia="SimSun" w:hAnsi="Calibri" w:cs="Times New Roman"/>
                <w:sz w:val="18"/>
                <w:szCs w:val="18"/>
                <w:lang w:val="en-US" w:eastAsia="ru-RU"/>
              </w:rPr>
              <w:t>K</w:t>
            </w:r>
          </w:p>
        </w:tc>
      </w:tr>
      <w:tr w:rsidR="00BD09E5" w:rsidRPr="005808BA" w14:paraId="26617AE0" w14:textId="282B3D45" w:rsidTr="00532881">
        <w:tc>
          <w:tcPr>
            <w:tcW w:w="1913" w:type="dxa"/>
            <w:vMerge/>
            <w:tcBorders>
              <w:top w:val="nil"/>
              <w:left w:val="single" w:sz="4" w:space="0" w:color="auto"/>
              <w:right w:val="single" w:sz="4" w:space="0" w:color="auto"/>
            </w:tcBorders>
            <w:noWrap/>
            <w:vAlign w:val="center"/>
          </w:tcPr>
          <w:p w14:paraId="221F8B65"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tcPr>
          <w:p w14:paraId="2F336F52"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right w:val="single" w:sz="4" w:space="0" w:color="auto"/>
            </w:tcBorders>
          </w:tcPr>
          <w:p w14:paraId="63425728"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06" w:type="dxa"/>
            <w:vMerge/>
            <w:tcBorders>
              <w:left w:val="nil"/>
              <w:right w:val="single" w:sz="4" w:space="0" w:color="auto"/>
            </w:tcBorders>
            <w:noWrap/>
          </w:tcPr>
          <w:p w14:paraId="0316867B"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90" w:type="dxa"/>
            <w:tcBorders>
              <w:top w:val="single" w:sz="4" w:space="0" w:color="auto"/>
              <w:left w:val="nil"/>
              <w:bottom w:val="single" w:sz="4" w:space="0" w:color="auto"/>
              <w:right w:val="single" w:sz="4" w:space="0" w:color="auto"/>
            </w:tcBorders>
            <w:noWrap/>
          </w:tcPr>
          <w:p w14:paraId="1231D435"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74100</w:t>
            </w:r>
          </w:p>
        </w:tc>
        <w:tc>
          <w:tcPr>
            <w:tcW w:w="3037" w:type="dxa"/>
            <w:tcBorders>
              <w:top w:val="single" w:sz="4" w:space="0" w:color="auto"/>
              <w:left w:val="nil"/>
              <w:bottom w:val="single" w:sz="4" w:space="0" w:color="auto"/>
              <w:right w:val="single" w:sz="4" w:space="0" w:color="auto"/>
            </w:tcBorders>
            <w:noWrap/>
          </w:tcPr>
          <w:p w14:paraId="1CA6BF96"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Audit</w:t>
            </w:r>
          </w:p>
        </w:tc>
        <w:tc>
          <w:tcPr>
            <w:tcW w:w="1260" w:type="dxa"/>
            <w:tcBorders>
              <w:top w:val="nil"/>
              <w:left w:val="nil"/>
              <w:bottom w:val="single" w:sz="4" w:space="0" w:color="auto"/>
              <w:right w:val="single" w:sz="4" w:space="0" w:color="auto"/>
            </w:tcBorders>
            <w:shd w:val="clear" w:color="auto" w:fill="FFFFCC"/>
            <w:noWrap/>
          </w:tcPr>
          <w:p w14:paraId="4410AF2A" w14:textId="4A329E6F"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1</w:t>
            </w:r>
            <w:r w:rsidRPr="005808BA">
              <w:rPr>
                <w:rFonts w:ascii="Calibri" w:eastAsia="SimSun" w:hAnsi="Calibri" w:cs="Times New Roman"/>
                <w:sz w:val="18"/>
                <w:szCs w:val="18"/>
                <w:lang w:val="en-US" w:eastAsia="ru-RU"/>
              </w:rPr>
              <w:t>,</w:t>
            </w:r>
            <w:r>
              <w:rPr>
                <w:rFonts w:ascii="Calibri" w:eastAsia="SimSun" w:hAnsi="Calibri" w:cs="Times New Roman"/>
                <w:sz w:val="18"/>
                <w:szCs w:val="18"/>
                <w:lang w:val="en-US" w:eastAsia="ru-RU"/>
              </w:rPr>
              <w:t>5</w:t>
            </w:r>
            <w:r w:rsidRPr="005808BA">
              <w:rPr>
                <w:rFonts w:ascii="Calibri" w:eastAsia="SimSun" w:hAnsi="Calibri" w:cs="Times New Roman"/>
                <w:sz w:val="18"/>
                <w:szCs w:val="18"/>
                <w:lang w:val="en-US" w:eastAsia="ru-RU"/>
              </w:rPr>
              <w:t>00</w:t>
            </w:r>
          </w:p>
        </w:tc>
        <w:tc>
          <w:tcPr>
            <w:tcW w:w="1080" w:type="dxa"/>
            <w:tcBorders>
              <w:top w:val="nil"/>
              <w:left w:val="nil"/>
              <w:bottom w:val="single" w:sz="8" w:space="0" w:color="auto"/>
              <w:right w:val="single" w:sz="8" w:space="0" w:color="auto"/>
            </w:tcBorders>
            <w:shd w:val="clear" w:color="auto" w:fill="auto"/>
            <w:noWrap/>
            <w:vAlign w:val="center"/>
          </w:tcPr>
          <w:p w14:paraId="4F1CB7A6" w14:textId="56D72E81"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0</w:t>
            </w:r>
          </w:p>
        </w:tc>
        <w:tc>
          <w:tcPr>
            <w:tcW w:w="1170" w:type="dxa"/>
            <w:tcBorders>
              <w:top w:val="nil"/>
              <w:left w:val="nil"/>
              <w:bottom w:val="single" w:sz="8" w:space="0" w:color="auto"/>
              <w:right w:val="single" w:sz="8" w:space="0" w:color="auto"/>
            </w:tcBorders>
            <w:shd w:val="clear" w:color="auto" w:fill="auto"/>
            <w:noWrap/>
            <w:vAlign w:val="center"/>
          </w:tcPr>
          <w:p w14:paraId="1BBE2988" w14:textId="181FF603"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0</w:t>
            </w:r>
          </w:p>
        </w:tc>
        <w:tc>
          <w:tcPr>
            <w:tcW w:w="1170" w:type="dxa"/>
            <w:tcBorders>
              <w:top w:val="nil"/>
              <w:left w:val="nil"/>
              <w:bottom w:val="single" w:sz="8" w:space="0" w:color="auto"/>
              <w:right w:val="single" w:sz="8" w:space="0" w:color="auto"/>
            </w:tcBorders>
            <w:shd w:val="clear" w:color="auto" w:fill="auto"/>
            <w:vAlign w:val="center"/>
          </w:tcPr>
          <w:p w14:paraId="694C1228" w14:textId="1D2DA131" w:rsidR="00BD09E5" w:rsidRPr="005808BA" w:rsidRDefault="00BD09E5" w:rsidP="00AA15F8">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1,500</w:t>
            </w:r>
          </w:p>
        </w:tc>
        <w:tc>
          <w:tcPr>
            <w:tcW w:w="1530" w:type="dxa"/>
            <w:tcBorders>
              <w:top w:val="nil"/>
              <w:left w:val="nil"/>
              <w:bottom w:val="single" w:sz="4" w:space="0" w:color="auto"/>
              <w:right w:val="single" w:sz="4" w:space="0" w:color="auto"/>
            </w:tcBorders>
          </w:tcPr>
          <w:p w14:paraId="1DDA5736" w14:textId="36C777B2" w:rsidR="00BD09E5" w:rsidRDefault="00BD09E5" w:rsidP="00BD09E5">
            <w:pPr>
              <w:spacing w:after="0" w:line="240" w:lineRule="auto"/>
              <w:jc w:val="center"/>
              <w:rPr>
                <w:rFonts w:ascii="Calibri" w:eastAsia="SimSun" w:hAnsi="Calibri" w:cs="Times New Roman"/>
                <w:sz w:val="18"/>
                <w:szCs w:val="18"/>
                <w:lang w:val="en-US" w:eastAsia="ru-RU"/>
              </w:rPr>
            </w:pPr>
            <w:r>
              <w:rPr>
                <w:rFonts w:ascii="Calibri" w:eastAsia="SimSun" w:hAnsi="Calibri" w:cs="Times New Roman"/>
                <w:sz w:val="18"/>
                <w:szCs w:val="18"/>
                <w:lang w:val="en-US" w:eastAsia="ru-RU"/>
              </w:rPr>
              <w:t>L</w:t>
            </w:r>
          </w:p>
        </w:tc>
      </w:tr>
      <w:tr w:rsidR="00BD09E5" w:rsidRPr="005808BA" w14:paraId="1F736493" w14:textId="5C506F9B" w:rsidTr="00532881">
        <w:tc>
          <w:tcPr>
            <w:tcW w:w="1913" w:type="dxa"/>
            <w:vMerge/>
            <w:tcBorders>
              <w:top w:val="nil"/>
              <w:left w:val="single" w:sz="4" w:space="0" w:color="auto"/>
              <w:right w:val="single" w:sz="4" w:space="0" w:color="auto"/>
            </w:tcBorders>
            <w:noWrap/>
            <w:vAlign w:val="center"/>
          </w:tcPr>
          <w:p w14:paraId="04B39DE6"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right w:val="single" w:sz="4" w:space="0" w:color="auto"/>
            </w:tcBorders>
            <w:shd w:val="clear" w:color="auto" w:fill="auto"/>
          </w:tcPr>
          <w:p w14:paraId="79BD2EB5"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right w:val="single" w:sz="4" w:space="0" w:color="auto"/>
            </w:tcBorders>
            <w:shd w:val="clear" w:color="auto" w:fill="auto"/>
          </w:tcPr>
          <w:p w14:paraId="69B5D1C2"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06" w:type="dxa"/>
            <w:vMerge/>
            <w:tcBorders>
              <w:left w:val="nil"/>
              <w:right w:val="single" w:sz="4" w:space="0" w:color="auto"/>
            </w:tcBorders>
            <w:shd w:val="clear" w:color="auto" w:fill="auto"/>
            <w:noWrap/>
          </w:tcPr>
          <w:p w14:paraId="7F3CF0FD"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90" w:type="dxa"/>
            <w:tcBorders>
              <w:top w:val="single" w:sz="4" w:space="0" w:color="auto"/>
              <w:left w:val="nil"/>
              <w:bottom w:val="single" w:sz="4" w:space="0" w:color="auto"/>
              <w:right w:val="single" w:sz="4" w:space="0" w:color="auto"/>
            </w:tcBorders>
            <w:shd w:val="clear" w:color="auto" w:fill="auto"/>
            <w:noWrap/>
          </w:tcPr>
          <w:p w14:paraId="5FF6213B"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72500</w:t>
            </w:r>
          </w:p>
        </w:tc>
        <w:tc>
          <w:tcPr>
            <w:tcW w:w="3037" w:type="dxa"/>
            <w:tcBorders>
              <w:top w:val="single" w:sz="4" w:space="0" w:color="auto"/>
              <w:left w:val="nil"/>
              <w:bottom w:val="single" w:sz="4" w:space="0" w:color="auto"/>
              <w:right w:val="single" w:sz="4" w:space="0" w:color="auto"/>
            </w:tcBorders>
            <w:shd w:val="clear" w:color="auto" w:fill="auto"/>
            <w:noWrap/>
          </w:tcPr>
          <w:p w14:paraId="0065B013"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Supplies</w:t>
            </w:r>
          </w:p>
        </w:tc>
        <w:tc>
          <w:tcPr>
            <w:tcW w:w="1260" w:type="dxa"/>
            <w:tcBorders>
              <w:top w:val="nil"/>
              <w:left w:val="nil"/>
              <w:bottom w:val="single" w:sz="4" w:space="0" w:color="auto"/>
              <w:right w:val="single" w:sz="4" w:space="0" w:color="auto"/>
            </w:tcBorders>
            <w:shd w:val="clear" w:color="auto" w:fill="FFF2CC"/>
            <w:noWrap/>
          </w:tcPr>
          <w:p w14:paraId="582081FF" w14:textId="109A8606"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1</w:t>
            </w:r>
            <w:r w:rsidR="00E51413">
              <w:rPr>
                <w:rFonts w:ascii="Calibri" w:eastAsia="SimSun" w:hAnsi="Calibri" w:cs="Times New Roman"/>
                <w:sz w:val="18"/>
                <w:szCs w:val="18"/>
                <w:lang w:val="en-US" w:eastAsia="ru-RU"/>
              </w:rPr>
              <w:t>4</w:t>
            </w:r>
            <w:r>
              <w:rPr>
                <w:rFonts w:ascii="Calibri" w:eastAsia="SimSun" w:hAnsi="Calibri" w:cs="Times New Roman"/>
                <w:sz w:val="18"/>
                <w:szCs w:val="18"/>
                <w:lang w:val="en-US" w:eastAsia="ru-RU"/>
              </w:rPr>
              <w:t>,0</w:t>
            </w:r>
            <w:r w:rsidRPr="005808BA">
              <w:rPr>
                <w:rFonts w:ascii="Calibri" w:eastAsia="SimSun" w:hAnsi="Calibri" w:cs="Times New Roman"/>
                <w:sz w:val="18"/>
                <w:szCs w:val="18"/>
                <w:lang w:val="en-US" w:eastAsia="ru-RU"/>
              </w:rPr>
              <w:t>00</w:t>
            </w:r>
          </w:p>
        </w:tc>
        <w:tc>
          <w:tcPr>
            <w:tcW w:w="1080" w:type="dxa"/>
            <w:tcBorders>
              <w:top w:val="nil"/>
              <w:left w:val="nil"/>
              <w:bottom w:val="single" w:sz="8" w:space="0" w:color="auto"/>
              <w:right w:val="single" w:sz="8" w:space="0" w:color="auto"/>
            </w:tcBorders>
            <w:shd w:val="clear" w:color="auto" w:fill="auto"/>
            <w:noWrap/>
            <w:vAlign w:val="center"/>
          </w:tcPr>
          <w:p w14:paraId="7227FD36" w14:textId="30466B8C"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w:t>
            </w:r>
          </w:p>
        </w:tc>
        <w:tc>
          <w:tcPr>
            <w:tcW w:w="1170" w:type="dxa"/>
            <w:tcBorders>
              <w:top w:val="nil"/>
              <w:left w:val="nil"/>
              <w:bottom w:val="single" w:sz="8" w:space="0" w:color="auto"/>
              <w:right w:val="single" w:sz="8" w:space="0" w:color="auto"/>
            </w:tcBorders>
            <w:shd w:val="clear" w:color="auto" w:fill="auto"/>
            <w:noWrap/>
            <w:vAlign w:val="center"/>
          </w:tcPr>
          <w:p w14:paraId="0329E639" w14:textId="7E8C45B2"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12,000</w:t>
            </w:r>
          </w:p>
        </w:tc>
        <w:tc>
          <w:tcPr>
            <w:tcW w:w="1170" w:type="dxa"/>
            <w:tcBorders>
              <w:top w:val="nil"/>
              <w:left w:val="nil"/>
              <w:bottom w:val="single" w:sz="8" w:space="0" w:color="auto"/>
              <w:right w:val="single" w:sz="8" w:space="0" w:color="auto"/>
            </w:tcBorders>
            <w:shd w:val="clear" w:color="auto" w:fill="auto"/>
            <w:vAlign w:val="center"/>
          </w:tcPr>
          <w:p w14:paraId="7971D7DE" w14:textId="665AB3F9" w:rsidR="00BD09E5" w:rsidRPr="005808BA" w:rsidRDefault="00BD09E5" w:rsidP="00AA15F8">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w:t>
            </w:r>
          </w:p>
        </w:tc>
        <w:tc>
          <w:tcPr>
            <w:tcW w:w="1530" w:type="dxa"/>
            <w:tcBorders>
              <w:top w:val="nil"/>
              <w:left w:val="nil"/>
              <w:bottom w:val="single" w:sz="4" w:space="0" w:color="auto"/>
              <w:right w:val="single" w:sz="4" w:space="0" w:color="auto"/>
            </w:tcBorders>
          </w:tcPr>
          <w:p w14:paraId="14D687F8" w14:textId="69DC6282" w:rsidR="00BD09E5" w:rsidRDefault="00BD09E5" w:rsidP="00BD09E5">
            <w:pPr>
              <w:spacing w:after="0" w:line="240" w:lineRule="auto"/>
              <w:jc w:val="center"/>
              <w:rPr>
                <w:rFonts w:ascii="Calibri" w:eastAsia="SimSun" w:hAnsi="Calibri" w:cs="Times New Roman"/>
                <w:sz w:val="18"/>
                <w:szCs w:val="18"/>
                <w:lang w:val="en-US" w:eastAsia="ru-RU"/>
              </w:rPr>
            </w:pPr>
            <w:r>
              <w:rPr>
                <w:rFonts w:ascii="Calibri" w:eastAsia="SimSun" w:hAnsi="Calibri" w:cs="Times New Roman"/>
                <w:sz w:val="18"/>
                <w:szCs w:val="18"/>
                <w:lang w:val="en-US" w:eastAsia="ru-RU"/>
              </w:rPr>
              <w:t>M</w:t>
            </w:r>
          </w:p>
        </w:tc>
      </w:tr>
      <w:tr w:rsidR="00BD09E5" w:rsidRPr="005808BA" w14:paraId="40F20F73" w14:textId="052AF5D6" w:rsidTr="00532881">
        <w:tc>
          <w:tcPr>
            <w:tcW w:w="1913" w:type="dxa"/>
            <w:vMerge/>
            <w:tcBorders>
              <w:top w:val="nil"/>
              <w:left w:val="single" w:sz="4" w:space="0" w:color="auto"/>
              <w:right w:val="single" w:sz="4" w:space="0" w:color="auto"/>
            </w:tcBorders>
            <w:noWrap/>
            <w:vAlign w:val="center"/>
          </w:tcPr>
          <w:p w14:paraId="28E62ECD"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p>
        </w:tc>
        <w:tc>
          <w:tcPr>
            <w:tcW w:w="984" w:type="dxa"/>
            <w:vMerge/>
            <w:tcBorders>
              <w:left w:val="nil"/>
              <w:bottom w:val="single" w:sz="4" w:space="0" w:color="auto"/>
              <w:right w:val="single" w:sz="4" w:space="0" w:color="auto"/>
            </w:tcBorders>
            <w:shd w:val="clear" w:color="auto" w:fill="auto"/>
          </w:tcPr>
          <w:p w14:paraId="219E2852"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810" w:type="dxa"/>
            <w:vMerge/>
            <w:tcBorders>
              <w:left w:val="nil"/>
              <w:bottom w:val="single" w:sz="4" w:space="0" w:color="auto"/>
              <w:right w:val="single" w:sz="4" w:space="0" w:color="auto"/>
            </w:tcBorders>
            <w:shd w:val="clear" w:color="auto" w:fill="auto"/>
          </w:tcPr>
          <w:p w14:paraId="4B7D8DF5"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06" w:type="dxa"/>
            <w:vMerge/>
            <w:tcBorders>
              <w:left w:val="nil"/>
              <w:bottom w:val="single" w:sz="4" w:space="0" w:color="auto"/>
              <w:right w:val="single" w:sz="4" w:space="0" w:color="auto"/>
            </w:tcBorders>
            <w:shd w:val="clear" w:color="auto" w:fill="auto"/>
            <w:noWrap/>
          </w:tcPr>
          <w:p w14:paraId="2ABBC460"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p>
        </w:tc>
        <w:tc>
          <w:tcPr>
            <w:tcW w:w="990" w:type="dxa"/>
            <w:tcBorders>
              <w:top w:val="single" w:sz="4" w:space="0" w:color="auto"/>
              <w:left w:val="nil"/>
              <w:bottom w:val="single" w:sz="4" w:space="0" w:color="auto"/>
              <w:right w:val="single" w:sz="4" w:space="0" w:color="auto"/>
            </w:tcBorders>
            <w:shd w:val="clear" w:color="auto" w:fill="auto"/>
            <w:noWrap/>
          </w:tcPr>
          <w:p w14:paraId="00695E96" w14:textId="77777777" w:rsidR="00BD09E5" w:rsidRPr="005808BA" w:rsidRDefault="00BD09E5" w:rsidP="00BD09E5">
            <w:pPr>
              <w:spacing w:after="0" w:line="240" w:lineRule="auto"/>
              <w:jc w:val="center"/>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75700</w:t>
            </w:r>
          </w:p>
        </w:tc>
        <w:tc>
          <w:tcPr>
            <w:tcW w:w="3037" w:type="dxa"/>
            <w:tcBorders>
              <w:top w:val="single" w:sz="4" w:space="0" w:color="auto"/>
              <w:left w:val="nil"/>
              <w:bottom w:val="single" w:sz="4" w:space="0" w:color="auto"/>
              <w:right w:val="single" w:sz="4" w:space="0" w:color="auto"/>
            </w:tcBorders>
            <w:shd w:val="clear" w:color="auto" w:fill="auto"/>
            <w:noWrap/>
          </w:tcPr>
          <w:p w14:paraId="655E4D72" w14:textId="77777777" w:rsidR="00BD09E5" w:rsidRPr="005808BA" w:rsidRDefault="00BD09E5" w:rsidP="00BD09E5">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sz w:val="18"/>
                <w:szCs w:val="18"/>
                <w:lang w:val="en-US" w:eastAsia="ru-RU"/>
              </w:rPr>
              <w:t>Training, Workshops &amp; Conferences</w:t>
            </w:r>
          </w:p>
        </w:tc>
        <w:tc>
          <w:tcPr>
            <w:tcW w:w="1260" w:type="dxa"/>
            <w:tcBorders>
              <w:top w:val="nil"/>
              <w:left w:val="nil"/>
              <w:bottom w:val="single" w:sz="4" w:space="0" w:color="auto"/>
              <w:right w:val="single" w:sz="4" w:space="0" w:color="auto"/>
            </w:tcBorders>
            <w:shd w:val="clear" w:color="auto" w:fill="FFF2CC"/>
            <w:noWrap/>
          </w:tcPr>
          <w:p w14:paraId="6DCE0E04" w14:textId="17AF74DF"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eastAsia="SimSun" w:hAnsi="Calibri" w:cs="Times New Roman"/>
                <w:sz w:val="18"/>
                <w:szCs w:val="18"/>
                <w:lang w:val="en-US" w:eastAsia="ru-RU"/>
              </w:rPr>
              <w:t>2,5</w:t>
            </w:r>
            <w:r w:rsidRPr="005808BA">
              <w:rPr>
                <w:rFonts w:ascii="Calibri" w:eastAsia="SimSun" w:hAnsi="Calibri" w:cs="Times New Roman"/>
                <w:sz w:val="18"/>
                <w:szCs w:val="18"/>
                <w:lang w:val="en-US" w:eastAsia="ru-RU"/>
              </w:rPr>
              <w:t>00</w:t>
            </w:r>
          </w:p>
        </w:tc>
        <w:tc>
          <w:tcPr>
            <w:tcW w:w="1080" w:type="dxa"/>
            <w:tcBorders>
              <w:top w:val="nil"/>
              <w:left w:val="nil"/>
              <w:bottom w:val="single" w:sz="8" w:space="0" w:color="auto"/>
              <w:right w:val="single" w:sz="8" w:space="0" w:color="auto"/>
            </w:tcBorders>
            <w:shd w:val="clear" w:color="auto" w:fill="auto"/>
            <w:noWrap/>
            <w:vAlign w:val="center"/>
          </w:tcPr>
          <w:p w14:paraId="14FCA47E" w14:textId="5B2F700F"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500</w:t>
            </w:r>
          </w:p>
        </w:tc>
        <w:tc>
          <w:tcPr>
            <w:tcW w:w="1170" w:type="dxa"/>
            <w:tcBorders>
              <w:top w:val="nil"/>
              <w:left w:val="nil"/>
              <w:bottom w:val="single" w:sz="8" w:space="0" w:color="auto"/>
              <w:right w:val="single" w:sz="8" w:space="0" w:color="auto"/>
            </w:tcBorders>
            <w:shd w:val="clear" w:color="auto" w:fill="auto"/>
            <w:noWrap/>
            <w:vAlign w:val="center"/>
          </w:tcPr>
          <w:p w14:paraId="3B3F4520" w14:textId="42FD2172" w:rsidR="00BD09E5" w:rsidRPr="005808BA" w:rsidRDefault="00BD09E5" w:rsidP="00BD09E5">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w:t>
            </w:r>
          </w:p>
        </w:tc>
        <w:tc>
          <w:tcPr>
            <w:tcW w:w="1170" w:type="dxa"/>
            <w:tcBorders>
              <w:top w:val="nil"/>
              <w:left w:val="nil"/>
              <w:bottom w:val="single" w:sz="8" w:space="0" w:color="auto"/>
              <w:right w:val="single" w:sz="8" w:space="0" w:color="auto"/>
            </w:tcBorders>
            <w:shd w:val="clear" w:color="auto" w:fill="auto"/>
            <w:vAlign w:val="center"/>
          </w:tcPr>
          <w:p w14:paraId="054B9DD1" w14:textId="03F8D8ED" w:rsidR="00BD09E5" w:rsidRPr="005808BA" w:rsidRDefault="00BD09E5" w:rsidP="00AA15F8">
            <w:pPr>
              <w:spacing w:after="0" w:line="240" w:lineRule="auto"/>
              <w:jc w:val="right"/>
              <w:rPr>
                <w:rFonts w:ascii="Calibri" w:eastAsia="SimSun" w:hAnsi="Calibri" w:cs="Times New Roman"/>
                <w:sz w:val="18"/>
                <w:szCs w:val="18"/>
                <w:lang w:val="en-US" w:eastAsia="ru-RU"/>
              </w:rPr>
            </w:pPr>
            <w:r>
              <w:rPr>
                <w:rFonts w:ascii="Calibri" w:hAnsi="Calibri"/>
                <w:color w:val="000000"/>
                <w:sz w:val="18"/>
                <w:szCs w:val="18"/>
              </w:rPr>
              <w:t>1,000</w:t>
            </w:r>
          </w:p>
        </w:tc>
        <w:tc>
          <w:tcPr>
            <w:tcW w:w="1530" w:type="dxa"/>
            <w:tcBorders>
              <w:top w:val="nil"/>
              <w:left w:val="nil"/>
              <w:bottom w:val="single" w:sz="4" w:space="0" w:color="auto"/>
              <w:right w:val="single" w:sz="4" w:space="0" w:color="auto"/>
            </w:tcBorders>
          </w:tcPr>
          <w:p w14:paraId="5C25C3D2" w14:textId="478CC975" w:rsidR="00BD09E5" w:rsidRDefault="00BD09E5" w:rsidP="00BD09E5">
            <w:pPr>
              <w:spacing w:after="0" w:line="240" w:lineRule="auto"/>
              <w:jc w:val="center"/>
              <w:rPr>
                <w:rFonts w:ascii="Calibri" w:eastAsia="SimSun" w:hAnsi="Calibri" w:cs="Times New Roman"/>
                <w:sz w:val="18"/>
                <w:szCs w:val="18"/>
                <w:lang w:val="en-US" w:eastAsia="ru-RU"/>
              </w:rPr>
            </w:pPr>
            <w:r>
              <w:rPr>
                <w:rFonts w:ascii="Calibri" w:eastAsia="SimSun" w:hAnsi="Calibri" w:cs="Times New Roman"/>
                <w:sz w:val="18"/>
                <w:szCs w:val="18"/>
                <w:lang w:val="en-US" w:eastAsia="ru-RU"/>
              </w:rPr>
              <w:t>F</w:t>
            </w:r>
          </w:p>
        </w:tc>
      </w:tr>
      <w:tr w:rsidR="00D86992" w:rsidRPr="005808BA" w14:paraId="2D9899C8" w14:textId="2FD62828" w:rsidTr="00532881">
        <w:tc>
          <w:tcPr>
            <w:tcW w:w="1913" w:type="dxa"/>
            <w:vMerge/>
            <w:tcBorders>
              <w:left w:val="single" w:sz="4" w:space="0" w:color="auto"/>
              <w:right w:val="single" w:sz="4" w:space="0" w:color="auto"/>
            </w:tcBorders>
            <w:shd w:val="clear" w:color="auto" w:fill="auto"/>
            <w:noWrap/>
            <w:vAlign w:val="center"/>
            <w:hideMark/>
          </w:tcPr>
          <w:p w14:paraId="21479548" w14:textId="77777777" w:rsidR="00D86992" w:rsidRPr="005808BA" w:rsidRDefault="00D86992" w:rsidP="005808BA">
            <w:pPr>
              <w:spacing w:after="0" w:line="240" w:lineRule="auto"/>
              <w:jc w:val="both"/>
              <w:rPr>
                <w:rFonts w:ascii="Calibri" w:eastAsia="SimSun" w:hAnsi="Calibri" w:cs="Times New Roman"/>
                <w:sz w:val="18"/>
                <w:szCs w:val="18"/>
                <w:lang w:val="ru-RU" w:eastAsia="ru-RU"/>
              </w:rPr>
            </w:pPr>
          </w:p>
        </w:tc>
        <w:tc>
          <w:tcPr>
            <w:tcW w:w="6727" w:type="dxa"/>
            <w:gridSpan w:val="5"/>
            <w:tcBorders>
              <w:top w:val="single" w:sz="4" w:space="0" w:color="auto"/>
              <w:left w:val="nil"/>
              <w:bottom w:val="single" w:sz="4" w:space="0" w:color="auto"/>
              <w:right w:val="single" w:sz="4" w:space="0" w:color="auto"/>
            </w:tcBorders>
            <w:shd w:val="clear" w:color="000000" w:fill="CCFFCC"/>
            <w:noWrap/>
            <w:hideMark/>
          </w:tcPr>
          <w:p w14:paraId="5236B137" w14:textId="7CA6ACA6" w:rsidR="00D86992" w:rsidRPr="005808BA" w:rsidRDefault="00D86992" w:rsidP="005808BA">
            <w:pPr>
              <w:spacing w:after="0" w:line="240" w:lineRule="auto"/>
              <w:jc w:val="both"/>
              <w:rPr>
                <w:rFonts w:ascii="Calibri" w:eastAsia="SimSun" w:hAnsi="Calibri" w:cs="Times New Roman"/>
                <w:sz w:val="18"/>
                <w:szCs w:val="18"/>
                <w:lang w:val="en-US" w:eastAsia="ru-RU"/>
              </w:rPr>
            </w:pPr>
            <w:r w:rsidRPr="005808BA">
              <w:rPr>
                <w:rFonts w:ascii="Calibri" w:eastAsia="SimSun" w:hAnsi="Calibri" w:cs="Times New Roman"/>
                <w:b/>
                <w:bCs/>
                <w:sz w:val="18"/>
                <w:szCs w:val="18"/>
                <w:lang w:val="en-US" w:eastAsia="ru-RU"/>
              </w:rPr>
              <w:t xml:space="preserve">GEF Subtotal Atlas Activity </w:t>
            </w:r>
            <w:r>
              <w:rPr>
                <w:rFonts w:ascii="Calibri" w:eastAsia="SimSun" w:hAnsi="Calibri" w:cs="Times New Roman"/>
                <w:b/>
                <w:bCs/>
                <w:sz w:val="18"/>
                <w:szCs w:val="18"/>
                <w:lang w:val="en-US" w:eastAsia="ru-RU"/>
              </w:rPr>
              <w:t>4</w:t>
            </w:r>
            <w:r w:rsidRPr="005808BA">
              <w:rPr>
                <w:rFonts w:ascii="Calibri" w:eastAsia="SimSun" w:hAnsi="Calibri" w:cs="Times New Roman"/>
                <w:b/>
                <w:bCs/>
                <w:sz w:val="18"/>
                <w:szCs w:val="18"/>
                <w:lang w:val="en-US" w:eastAsia="ru-RU"/>
              </w:rPr>
              <w:t xml:space="preserve"> (Proj Mgt)</w:t>
            </w:r>
          </w:p>
        </w:tc>
        <w:tc>
          <w:tcPr>
            <w:tcW w:w="1260" w:type="dxa"/>
            <w:tcBorders>
              <w:top w:val="nil"/>
              <w:left w:val="nil"/>
              <w:bottom w:val="single" w:sz="4" w:space="0" w:color="auto"/>
              <w:right w:val="single" w:sz="4" w:space="0" w:color="auto"/>
            </w:tcBorders>
            <w:shd w:val="clear" w:color="000000" w:fill="CCFFCC"/>
            <w:hideMark/>
          </w:tcPr>
          <w:p w14:paraId="17395E74" w14:textId="5546CCA1" w:rsidR="00D86992" w:rsidRPr="005808BA" w:rsidRDefault="005C2AFA"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45</w:t>
            </w:r>
            <w:r w:rsidR="00D86992" w:rsidRPr="005808BA">
              <w:rPr>
                <w:rFonts w:ascii="Calibri" w:eastAsia="SimSun" w:hAnsi="Calibri" w:cs="Times New Roman"/>
                <w:b/>
                <w:sz w:val="18"/>
                <w:szCs w:val="18"/>
                <w:lang w:val="en-US" w:eastAsia="ru-RU"/>
              </w:rPr>
              <w:t>,000</w:t>
            </w:r>
          </w:p>
        </w:tc>
        <w:tc>
          <w:tcPr>
            <w:tcW w:w="1080" w:type="dxa"/>
            <w:tcBorders>
              <w:top w:val="nil"/>
              <w:left w:val="nil"/>
              <w:bottom w:val="single" w:sz="4" w:space="0" w:color="auto"/>
              <w:right w:val="single" w:sz="4" w:space="0" w:color="auto"/>
            </w:tcBorders>
            <w:shd w:val="clear" w:color="000000" w:fill="CCFFCC"/>
          </w:tcPr>
          <w:p w14:paraId="0EE948F5" w14:textId="4ACFD902" w:rsidR="00D86992" w:rsidRPr="005808BA" w:rsidRDefault="003D4DFD"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4</w:t>
            </w:r>
            <w:r w:rsidR="005C2AFA">
              <w:rPr>
                <w:rFonts w:ascii="Calibri" w:eastAsia="SimSun" w:hAnsi="Calibri" w:cs="Times New Roman"/>
                <w:b/>
                <w:sz w:val="18"/>
                <w:szCs w:val="18"/>
                <w:lang w:val="en-US" w:eastAsia="ru-RU"/>
              </w:rPr>
              <w:t>,</w:t>
            </w:r>
            <w:r>
              <w:rPr>
                <w:rFonts w:ascii="Calibri" w:eastAsia="SimSun" w:hAnsi="Calibri" w:cs="Times New Roman"/>
                <w:b/>
                <w:sz w:val="18"/>
                <w:szCs w:val="18"/>
                <w:lang w:val="en-US" w:eastAsia="ru-RU"/>
              </w:rPr>
              <w:t>5</w:t>
            </w:r>
            <w:r w:rsidR="00CF4664">
              <w:rPr>
                <w:rFonts w:ascii="Calibri" w:eastAsia="SimSun" w:hAnsi="Calibri" w:cs="Times New Roman"/>
                <w:b/>
                <w:sz w:val="18"/>
                <w:szCs w:val="18"/>
                <w:lang w:val="en-US" w:eastAsia="ru-RU"/>
              </w:rPr>
              <w:t>00</w:t>
            </w:r>
          </w:p>
        </w:tc>
        <w:tc>
          <w:tcPr>
            <w:tcW w:w="1170" w:type="dxa"/>
            <w:tcBorders>
              <w:top w:val="nil"/>
              <w:left w:val="nil"/>
              <w:bottom w:val="single" w:sz="4" w:space="0" w:color="auto"/>
              <w:right w:val="single" w:sz="4" w:space="0" w:color="auto"/>
            </w:tcBorders>
            <w:shd w:val="clear" w:color="000000" w:fill="CCFFCC"/>
          </w:tcPr>
          <w:p w14:paraId="26A0970D" w14:textId="68982EF2" w:rsidR="00D86992" w:rsidRPr="005808BA" w:rsidRDefault="0076760D"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32</w:t>
            </w:r>
            <w:r w:rsidR="005C2AFA">
              <w:rPr>
                <w:rFonts w:ascii="Calibri" w:eastAsia="SimSun" w:hAnsi="Calibri" w:cs="Times New Roman"/>
                <w:b/>
                <w:sz w:val="18"/>
                <w:szCs w:val="18"/>
                <w:lang w:val="en-US" w:eastAsia="ru-RU"/>
              </w:rPr>
              <w:t>,</w:t>
            </w:r>
            <w:r w:rsidR="00CA49D0">
              <w:rPr>
                <w:rFonts w:ascii="Calibri" w:eastAsia="SimSun" w:hAnsi="Calibri" w:cs="Times New Roman"/>
                <w:b/>
                <w:sz w:val="18"/>
                <w:szCs w:val="18"/>
                <w:lang w:val="en-US" w:eastAsia="ru-RU"/>
              </w:rPr>
              <w:t>5</w:t>
            </w:r>
            <w:r w:rsidR="00D86992">
              <w:rPr>
                <w:rFonts w:ascii="Calibri" w:eastAsia="SimSun" w:hAnsi="Calibri" w:cs="Times New Roman"/>
                <w:b/>
                <w:sz w:val="18"/>
                <w:szCs w:val="18"/>
                <w:lang w:val="en-US" w:eastAsia="ru-RU"/>
              </w:rPr>
              <w:t>00</w:t>
            </w:r>
          </w:p>
        </w:tc>
        <w:tc>
          <w:tcPr>
            <w:tcW w:w="1170" w:type="dxa"/>
            <w:tcBorders>
              <w:top w:val="nil"/>
              <w:left w:val="nil"/>
              <w:bottom w:val="single" w:sz="4" w:space="0" w:color="auto"/>
              <w:right w:val="single" w:sz="4" w:space="0" w:color="auto"/>
            </w:tcBorders>
            <w:shd w:val="clear" w:color="000000" w:fill="CCFFCC"/>
          </w:tcPr>
          <w:p w14:paraId="79CFA277" w14:textId="5662AA78" w:rsidR="00D86992" w:rsidRPr="00AA15F8" w:rsidRDefault="00BD09E5" w:rsidP="00AA15F8">
            <w:pPr>
              <w:tabs>
                <w:tab w:val="right" w:pos="954"/>
              </w:tabs>
              <w:spacing w:after="0" w:line="240" w:lineRule="auto"/>
              <w:jc w:val="right"/>
              <w:rPr>
                <w:rFonts w:ascii="Calibri" w:eastAsia="SimSun" w:hAnsi="Calibri" w:cs="Times New Roman"/>
                <w:b/>
                <w:sz w:val="18"/>
                <w:szCs w:val="18"/>
                <w:lang w:val="en-US" w:eastAsia="ru-RU"/>
              </w:rPr>
            </w:pPr>
            <w:r w:rsidRPr="00BD09E5">
              <w:rPr>
                <w:rFonts w:ascii="Calibri" w:eastAsia="SimSun" w:hAnsi="Calibri" w:cs="Times New Roman"/>
                <w:b/>
                <w:sz w:val="18"/>
                <w:szCs w:val="18"/>
                <w:lang w:val="en-US" w:eastAsia="ru-RU"/>
              </w:rPr>
              <w:t>8,000</w:t>
            </w:r>
          </w:p>
        </w:tc>
        <w:tc>
          <w:tcPr>
            <w:tcW w:w="1530" w:type="dxa"/>
            <w:tcBorders>
              <w:top w:val="nil"/>
              <w:left w:val="nil"/>
              <w:bottom w:val="single" w:sz="4" w:space="0" w:color="auto"/>
              <w:right w:val="single" w:sz="4" w:space="0" w:color="auto"/>
            </w:tcBorders>
            <w:shd w:val="clear" w:color="000000" w:fill="CCFFCC"/>
          </w:tcPr>
          <w:p w14:paraId="45CF4A57" w14:textId="77777777" w:rsidR="00D86992" w:rsidRPr="005808BA" w:rsidRDefault="00D86992" w:rsidP="005808BA">
            <w:pPr>
              <w:spacing w:after="0" w:line="240" w:lineRule="auto"/>
              <w:jc w:val="right"/>
              <w:rPr>
                <w:rFonts w:ascii="Calibri" w:eastAsia="SimSun" w:hAnsi="Calibri" w:cs="Times New Roman"/>
                <w:sz w:val="18"/>
                <w:szCs w:val="18"/>
                <w:lang w:val="ru-RU" w:eastAsia="ru-RU"/>
              </w:rPr>
            </w:pPr>
          </w:p>
        </w:tc>
      </w:tr>
      <w:tr w:rsidR="00D86992" w:rsidRPr="005808BA" w14:paraId="539A3D05" w14:textId="3C63D435" w:rsidTr="00532881">
        <w:tc>
          <w:tcPr>
            <w:tcW w:w="864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2504C85" w14:textId="314DDC5F" w:rsidR="00D86992" w:rsidRPr="005808BA" w:rsidRDefault="00D86992" w:rsidP="00A06602">
            <w:pPr>
              <w:spacing w:after="0" w:line="240" w:lineRule="auto"/>
              <w:jc w:val="both"/>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 xml:space="preserve">TOTAL ACTIVITY </w:t>
            </w:r>
            <w:r>
              <w:rPr>
                <w:rFonts w:ascii="Calibri" w:eastAsia="SimSun" w:hAnsi="Calibri" w:cs="Times New Roman"/>
                <w:b/>
                <w:bCs/>
                <w:sz w:val="18"/>
                <w:szCs w:val="18"/>
                <w:lang w:eastAsia="ru-RU"/>
              </w:rPr>
              <w:t>4</w:t>
            </w:r>
            <w:r w:rsidRPr="005808BA">
              <w:rPr>
                <w:rFonts w:ascii="Calibri" w:eastAsia="SimSun" w:hAnsi="Calibri" w:cs="Times New Roman"/>
                <w:b/>
                <w:bCs/>
                <w:sz w:val="18"/>
                <w:szCs w:val="18"/>
                <w:lang w:val="ru-RU" w:eastAsia="ru-RU"/>
              </w:rPr>
              <w:t xml:space="preserve"> (Project Management)</w:t>
            </w:r>
          </w:p>
        </w:tc>
        <w:tc>
          <w:tcPr>
            <w:tcW w:w="1260" w:type="dxa"/>
            <w:tcBorders>
              <w:top w:val="nil"/>
              <w:left w:val="nil"/>
              <w:bottom w:val="single" w:sz="4" w:space="0" w:color="auto"/>
              <w:right w:val="single" w:sz="4" w:space="0" w:color="auto"/>
            </w:tcBorders>
            <w:shd w:val="clear" w:color="000000" w:fill="C0C0C0"/>
            <w:hideMark/>
          </w:tcPr>
          <w:p w14:paraId="6D94735D" w14:textId="4CE5DDD6" w:rsidR="00D86992" w:rsidRPr="005808BA" w:rsidRDefault="005C2AFA" w:rsidP="005808BA">
            <w:pPr>
              <w:spacing w:after="0" w:line="240" w:lineRule="auto"/>
              <w:jc w:val="right"/>
              <w:rPr>
                <w:rFonts w:ascii="Calibri" w:eastAsia="SimSun" w:hAnsi="Calibri" w:cs="Times New Roman"/>
                <w:b/>
                <w:sz w:val="18"/>
                <w:szCs w:val="18"/>
                <w:lang w:val="en-US" w:eastAsia="ru-RU"/>
              </w:rPr>
            </w:pPr>
            <w:r>
              <w:rPr>
                <w:rFonts w:ascii="Calibri" w:eastAsia="SimSun" w:hAnsi="Calibri" w:cs="Times New Roman"/>
                <w:b/>
                <w:sz w:val="18"/>
                <w:szCs w:val="18"/>
                <w:lang w:val="en-US" w:eastAsia="ru-RU"/>
              </w:rPr>
              <w:t>45</w:t>
            </w:r>
            <w:r w:rsidR="00D86992" w:rsidRPr="005808BA">
              <w:rPr>
                <w:rFonts w:ascii="Calibri" w:eastAsia="SimSun" w:hAnsi="Calibri" w:cs="Times New Roman"/>
                <w:b/>
                <w:sz w:val="18"/>
                <w:szCs w:val="18"/>
                <w:lang w:val="en-US" w:eastAsia="ru-RU"/>
              </w:rPr>
              <w:t>,000</w:t>
            </w:r>
          </w:p>
        </w:tc>
        <w:tc>
          <w:tcPr>
            <w:tcW w:w="1080" w:type="dxa"/>
            <w:tcBorders>
              <w:top w:val="nil"/>
              <w:left w:val="nil"/>
              <w:bottom w:val="single" w:sz="4" w:space="0" w:color="auto"/>
              <w:right w:val="single" w:sz="4" w:space="0" w:color="auto"/>
            </w:tcBorders>
            <w:shd w:val="clear" w:color="000000" w:fill="C0C0C0"/>
            <w:hideMark/>
          </w:tcPr>
          <w:p w14:paraId="731AA9F2" w14:textId="7C0A634A" w:rsidR="00D86992" w:rsidRPr="005808BA" w:rsidRDefault="003D4DFD" w:rsidP="005808BA">
            <w:pPr>
              <w:spacing w:after="0" w:line="240" w:lineRule="auto"/>
              <w:jc w:val="right"/>
              <w:rPr>
                <w:rFonts w:ascii="Calibri" w:eastAsia="SimSun" w:hAnsi="Calibri" w:cs="Times New Roman"/>
                <w:b/>
                <w:sz w:val="18"/>
                <w:szCs w:val="18"/>
                <w:lang w:val="ru-RU" w:eastAsia="ru-RU"/>
              </w:rPr>
            </w:pPr>
            <w:r>
              <w:rPr>
                <w:rFonts w:ascii="Calibri" w:eastAsia="SimSun" w:hAnsi="Calibri" w:cs="Times New Roman"/>
                <w:b/>
                <w:sz w:val="18"/>
                <w:szCs w:val="18"/>
                <w:lang w:val="en-US" w:eastAsia="ru-RU"/>
              </w:rPr>
              <w:t>4</w:t>
            </w:r>
            <w:r w:rsidR="005C2AFA">
              <w:rPr>
                <w:rFonts w:ascii="Calibri" w:eastAsia="SimSun" w:hAnsi="Calibri" w:cs="Times New Roman"/>
                <w:b/>
                <w:sz w:val="18"/>
                <w:szCs w:val="18"/>
                <w:lang w:val="en-US" w:eastAsia="ru-RU"/>
              </w:rPr>
              <w:t>,</w:t>
            </w:r>
            <w:r>
              <w:rPr>
                <w:rFonts w:ascii="Calibri" w:eastAsia="SimSun" w:hAnsi="Calibri" w:cs="Times New Roman"/>
                <w:b/>
                <w:sz w:val="18"/>
                <w:szCs w:val="18"/>
                <w:lang w:val="en-US" w:eastAsia="ru-RU"/>
              </w:rPr>
              <w:t>5</w:t>
            </w:r>
            <w:r w:rsidR="00CF4664">
              <w:rPr>
                <w:rFonts w:ascii="Calibri" w:eastAsia="SimSun" w:hAnsi="Calibri" w:cs="Times New Roman"/>
                <w:b/>
                <w:sz w:val="18"/>
                <w:szCs w:val="18"/>
                <w:lang w:val="en-US" w:eastAsia="ru-RU"/>
              </w:rPr>
              <w:t>00</w:t>
            </w:r>
          </w:p>
        </w:tc>
        <w:tc>
          <w:tcPr>
            <w:tcW w:w="1170" w:type="dxa"/>
            <w:tcBorders>
              <w:top w:val="nil"/>
              <w:left w:val="nil"/>
              <w:bottom w:val="single" w:sz="4" w:space="0" w:color="auto"/>
              <w:right w:val="single" w:sz="4" w:space="0" w:color="auto"/>
            </w:tcBorders>
            <w:shd w:val="clear" w:color="000000" w:fill="C0C0C0"/>
            <w:hideMark/>
          </w:tcPr>
          <w:p w14:paraId="60F6B028" w14:textId="5210D7DB" w:rsidR="00D86992" w:rsidRPr="005808BA" w:rsidRDefault="0076760D" w:rsidP="005808BA">
            <w:pPr>
              <w:spacing w:after="0" w:line="240" w:lineRule="auto"/>
              <w:jc w:val="right"/>
              <w:rPr>
                <w:rFonts w:ascii="Calibri" w:eastAsia="SimSun" w:hAnsi="Calibri" w:cs="Times New Roman"/>
                <w:b/>
                <w:sz w:val="18"/>
                <w:szCs w:val="18"/>
                <w:lang w:val="ru-RU" w:eastAsia="ru-RU"/>
              </w:rPr>
            </w:pPr>
            <w:r>
              <w:rPr>
                <w:rFonts w:ascii="Calibri" w:eastAsia="SimSun" w:hAnsi="Calibri" w:cs="Times New Roman"/>
                <w:b/>
                <w:sz w:val="18"/>
                <w:szCs w:val="18"/>
                <w:lang w:val="en-US" w:eastAsia="ru-RU"/>
              </w:rPr>
              <w:t>32</w:t>
            </w:r>
            <w:r w:rsidR="005C2AFA">
              <w:rPr>
                <w:rFonts w:ascii="Calibri" w:eastAsia="SimSun" w:hAnsi="Calibri" w:cs="Times New Roman"/>
                <w:b/>
                <w:sz w:val="18"/>
                <w:szCs w:val="18"/>
                <w:lang w:val="en-US" w:eastAsia="ru-RU"/>
              </w:rPr>
              <w:t>,</w:t>
            </w:r>
            <w:r w:rsidR="00CA49D0">
              <w:rPr>
                <w:rFonts w:ascii="Calibri" w:eastAsia="SimSun" w:hAnsi="Calibri" w:cs="Times New Roman"/>
                <w:b/>
                <w:sz w:val="18"/>
                <w:szCs w:val="18"/>
                <w:lang w:val="en-US" w:eastAsia="ru-RU"/>
              </w:rPr>
              <w:t>5</w:t>
            </w:r>
            <w:r w:rsidR="00D86992">
              <w:rPr>
                <w:rFonts w:ascii="Calibri" w:eastAsia="SimSun" w:hAnsi="Calibri" w:cs="Times New Roman"/>
                <w:b/>
                <w:sz w:val="18"/>
                <w:szCs w:val="18"/>
                <w:lang w:val="en-US" w:eastAsia="ru-RU"/>
              </w:rPr>
              <w:t>00</w:t>
            </w:r>
          </w:p>
        </w:tc>
        <w:tc>
          <w:tcPr>
            <w:tcW w:w="1170" w:type="dxa"/>
            <w:tcBorders>
              <w:top w:val="nil"/>
              <w:left w:val="nil"/>
              <w:bottom w:val="single" w:sz="4" w:space="0" w:color="auto"/>
              <w:right w:val="single" w:sz="4" w:space="0" w:color="auto"/>
            </w:tcBorders>
            <w:shd w:val="clear" w:color="000000" w:fill="C0C0C0"/>
          </w:tcPr>
          <w:p w14:paraId="72D0E97C" w14:textId="69AA794F" w:rsidR="00D86992" w:rsidRPr="00AA15F8" w:rsidRDefault="00BD09E5" w:rsidP="00AA15F8">
            <w:pPr>
              <w:spacing w:after="0" w:line="240" w:lineRule="auto"/>
              <w:jc w:val="right"/>
              <w:rPr>
                <w:rFonts w:ascii="Calibri" w:eastAsia="SimSun" w:hAnsi="Calibri" w:cs="Times New Roman"/>
                <w:b/>
                <w:bCs/>
                <w:sz w:val="18"/>
                <w:szCs w:val="18"/>
                <w:lang w:val="en-US" w:eastAsia="ru-RU"/>
              </w:rPr>
            </w:pPr>
            <w:r w:rsidRPr="00BD09E5">
              <w:rPr>
                <w:rFonts w:ascii="Calibri" w:eastAsia="SimSun" w:hAnsi="Calibri" w:cs="Times New Roman"/>
                <w:b/>
                <w:bCs/>
                <w:sz w:val="18"/>
                <w:szCs w:val="18"/>
                <w:lang w:val="en-US" w:eastAsia="ru-RU"/>
              </w:rPr>
              <w:t>8,000</w:t>
            </w:r>
          </w:p>
        </w:tc>
        <w:tc>
          <w:tcPr>
            <w:tcW w:w="1530" w:type="dxa"/>
            <w:tcBorders>
              <w:top w:val="nil"/>
              <w:left w:val="nil"/>
              <w:bottom w:val="single" w:sz="4" w:space="0" w:color="auto"/>
              <w:right w:val="single" w:sz="4" w:space="0" w:color="auto"/>
            </w:tcBorders>
            <w:shd w:val="clear" w:color="000000" w:fill="C0C0C0"/>
          </w:tcPr>
          <w:p w14:paraId="5CD0BE9B" w14:textId="77777777" w:rsidR="00D86992" w:rsidRPr="005808BA" w:rsidRDefault="00D86992" w:rsidP="005808BA">
            <w:pPr>
              <w:spacing w:after="0" w:line="240" w:lineRule="auto"/>
              <w:jc w:val="right"/>
              <w:rPr>
                <w:rFonts w:ascii="Calibri" w:eastAsia="SimSun" w:hAnsi="Calibri" w:cs="Times New Roman"/>
                <w:b/>
                <w:bCs/>
                <w:sz w:val="18"/>
                <w:szCs w:val="18"/>
                <w:lang w:val="ru-RU" w:eastAsia="ru-RU"/>
              </w:rPr>
            </w:pPr>
          </w:p>
        </w:tc>
      </w:tr>
      <w:tr w:rsidR="00D86992" w:rsidRPr="005808BA" w14:paraId="20BFC7F9" w14:textId="4F2D39D7" w:rsidTr="00532881">
        <w:tc>
          <w:tcPr>
            <w:tcW w:w="8640" w:type="dxa"/>
            <w:gridSpan w:val="6"/>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F23D623" w14:textId="77777777" w:rsidR="00D86992" w:rsidRPr="005808BA" w:rsidRDefault="00D86992" w:rsidP="005808BA">
            <w:pPr>
              <w:spacing w:after="0" w:line="240" w:lineRule="auto"/>
              <w:jc w:val="both"/>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SUB-TOTAL GEF</w:t>
            </w:r>
          </w:p>
        </w:tc>
        <w:tc>
          <w:tcPr>
            <w:tcW w:w="1260" w:type="dxa"/>
            <w:tcBorders>
              <w:top w:val="single" w:sz="4" w:space="0" w:color="auto"/>
              <w:left w:val="nil"/>
              <w:bottom w:val="single" w:sz="4" w:space="0" w:color="auto"/>
              <w:right w:val="single" w:sz="4" w:space="0" w:color="auto"/>
            </w:tcBorders>
            <w:shd w:val="clear" w:color="auto" w:fill="92D050"/>
            <w:noWrap/>
            <w:vAlign w:val="bottom"/>
            <w:hideMark/>
          </w:tcPr>
          <w:p w14:paraId="7CDAD713" w14:textId="279A210E" w:rsidR="00D86992" w:rsidRPr="005808BA" w:rsidRDefault="00D86992"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5</w:t>
            </w:r>
            <w:r w:rsidRPr="005808BA">
              <w:rPr>
                <w:rFonts w:ascii="Calibri" w:eastAsia="SimSun" w:hAnsi="Calibri" w:cs="Times New Roman"/>
                <w:b/>
                <w:bCs/>
                <w:sz w:val="18"/>
                <w:szCs w:val="18"/>
                <w:lang w:val="en-US" w:eastAsia="ru-RU"/>
              </w:rPr>
              <w:t>00,000</w:t>
            </w:r>
          </w:p>
        </w:tc>
        <w:tc>
          <w:tcPr>
            <w:tcW w:w="1080" w:type="dxa"/>
            <w:tcBorders>
              <w:top w:val="single" w:sz="4" w:space="0" w:color="auto"/>
              <w:left w:val="nil"/>
              <w:bottom w:val="single" w:sz="4" w:space="0" w:color="auto"/>
              <w:right w:val="single" w:sz="4" w:space="0" w:color="auto"/>
            </w:tcBorders>
            <w:shd w:val="clear" w:color="auto" w:fill="92D050"/>
            <w:noWrap/>
            <w:vAlign w:val="bottom"/>
            <w:hideMark/>
          </w:tcPr>
          <w:p w14:paraId="7279F65A" w14:textId="3F7CCCAA" w:rsidR="00D86992" w:rsidRPr="008732AB" w:rsidRDefault="00AA15F8" w:rsidP="005808BA">
            <w:pPr>
              <w:spacing w:after="0" w:line="240" w:lineRule="auto"/>
              <w:jc w:val="right"/>
              <w:rPr>
                <w:rFonts w:ascii="Calibri" w:eastAsia="SimSun" w:hAnsi="Calibri" w:cs="Times New Roman"/>
                <w:b/>
                <w:bCs/>
                <w:sz w:val="18"/>
                <w:szCs w:val="18"/>
                <w:lang w:val="en-US" w:eastAsia="ru-RU"/>
              </w:rPr>
            </w:pPr>
            <w:r w:rsidRPr="008732AB">
              <w:rPr>
                <w:rFonts w:ascii="Calibri" w:eastAsia="SimSun" w:hAnsi="Calibri" w:cs="Times New Roman"/>
                <w:b/>
                <w:bCs/>
                <w:sz w:val="18"/>
                <w:szCs w:val="18"/>
                <w:lang w:val="en-US" w:eastAsia="ru-RU"/>
              </w:rPr>
              <w:t>57,500</w:t>
            </w:r>
          </w:p>
        </w:tc>
        <w:tc>
          <w:tcPr>
            <w:tcW w:w="1170" w:type="dxa"/>
            <w:tcBorders>
              <w:top w:val="single" w:sz="4" w:space="0" w:color="auto"/>
              <w:left w:val="nil"/>
              <w:bottom w:val="single" w:sz="4" w:space="0" w:color="auto"/>
              <w:right w:val="single" w:sz="4" w:space="0" w:color="auto"/>
            </w:tcBorders>
            <w:shd w:val="clear" w:color="auto" w:fill="92D050"/>
            <w:noWrap/>
            <w:vAlign w:val="bottom"/>
            <w:hideMark/>
          </w:tcPr>
          <w:p w14:paraId="4BECBDAD" w14:textId="31C45DD7" w:rsidR="00D86992" w:rsidRPr="008732AB" w:rsidRDefault="00CA49D0" w:rsidP="005808BA">
            <w:pPr>
              <w:spacing w:after="0" w:line="240" w:lineRule="auto"/>
              <w:jc w:val="right"/>
              <w:rPr>
                <w:rFonts w:ascii="Calibri" w:eastAsia="SimSun" w:hAnsi="Calibri" w:cs="Times New Roman"/>
                <w:b/>
                <w:bCs/>
                <w:sz w:val="18"/>
                <w:szCs w:val="18"/>
                <w:lang w:val="en-US" w:eastAsia="ru-RU"/>
              </w:rPr>
            </w:pPr>
            <w:r w:rsidRPr="008732AB">
              <w:rPr>
                <w:rFonts w:ascii="Calibri" w:eastAsia="SimSun" w:hAnsi="Calibri" w:cs="Times New Roman"/>
                <w:b/>
                <w:bCs/>
                <w:sz w:val="18"/>
                <w:szCs w:val="18"/>
                <w:lang w:val="en-US" w:eastAsia="ru-RU"/>
              </w:rPr>
              <w:t>355,500</w:t>
            </w:r>
          </w:p>
        </w:tc>
        <w:tc>
          <w:tcPr>
            <w:tcW w:w="1170" w:type="dxa"/>
            <w:tcBorders>
              <w:top w:val="single" w:sz="4" w:space="0" w:color="auto"/>
              <w:left w:val="nil"/>
              <w:bottom w:val="single" w:sz="4" w:space="0" w:color="auto"/>
              <w:right w:val="single" w:sz="4" w:space="0" w:color="auto"/>
            </w:tcBorders>
            <w:shd w:val="clear" w:color="auto" w:fill="92D050"/>
          </w:tcPr>
          <w:p w14:paraId="54356DBD" w14:textId="73D6B418" w:rsidR="00D86992" w:rsidRPr="00AA15F8" w:rsidRDefault="00BD09E5" w:rsidP="005808BA">
            <w:pPr>
              <w:spacing w:after="0" w:line="240" w:lineRule="auto"/>
              <w:jc w:val="right"/>
              <w:rPr>
                <w:rFonts w:ascii="Calibri" w:eastAsia="SimSun" w:hAnsi="Calibri" w:cs="Times New Roman"/>
                <w:b/>
                <w:bCs/>
                <w:sz w:val="18"/>
                <w:szCs w:val="18"/>
                <w:lang w:val="en-US" w:eastAsia="ru-RU"/>
              </w:rPr>
            </w:pPr>
            <w:r w:rsidRPr="00BD09E5">
              <w:rPr>
                <w:rFonts w:ascii="Calibri" w:eastAsia="SimSun" w:hAnsi="Calibri" w:cs="Times New Roman"/>
                <w:b/>
                <w:bCs/>
                <w:sz w:val="18"/>
                <w:szCs w:val="18"/>
                <w:lang w:val="en-US" w:eastAsia="ru-RU"/>
              </w:rPr>
              <w:t>87,000</w:t>
            </w:r>
          </w:p>
        </w:tc>
        <w:tc>
          <w:tcPr>
            <w:tcW w:w="1530" w:type="dxa"/>
            <w:tcBorders>
              <w:top w:val="single" w:sz="4" w:space="0" w:color="auto"/>
              <w:left w:val="nil"/>
              <w:bottom w:val="single" w:sz="4" w:space="0" w:color="auto"/>
              <w:right w:val="single" w:sz="4" w:space="0" w:color="auto"/>
            </w:tcBorders>
            <w:shd w:val="clear" w:color="auto" w:fill="92D050"/>
          </w:tcPr>
          <w:p w14:paraId="1510DEC6" w14:textId="77777777" w:rsidR="00D86992" w:rsidRPr="005808BA" w:rsidRDefault="00D86992" w:rsidP="005808BA">
            <w:pPr>
              <w:spacing w:after="0" w:line="240" w:lineRule="auto"/>
              <w:jc w:val="right"/>
              <w:rPr>
                <w:rFonts w:ascii="Calibri" w:eastAsia="SimSun" w:hAnsi="Calibri" w:cs="Times New Roman"/>
                <w:b/>
                <w:bCs/>
                <w:sz w:val="18"/>
                <w:szCs w:val="18"/>
                <w:lang w:val="ru-RU" w:eastAsia="ru-RU"/>
              </w:rPr>
            </w:pPr>
          </w:p>
        </w:tc>
      </w:tr>
      <w:tr w:rsidR="00D86992" w:rsidRPr="005808BA" w14:paraId="2ECAC2B7" w14:textId="433F1A76" w:rsidTr="00532881">
        <w:trPr>
          <w:trHeight w:val="260"/>
        </w:trPr>
        <w:tc>
          <w:tcPr>
            <w:tcW w:w="8640" w:type="dxa"/>
            <w:gridSpan w:val="6"/>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78676CE7" w14:textId="77777777" w:rsidR="00D86992" w:rsidRPr="005808BA" w:rsidRDefault="00D86992" w:rsidP="005808BA">
            <w:pPr>
              <w:spacing w:after="0" w:line="240" w:lineRule="auto"/>
              <w:jc w:val="both"/>
              <w:rPr>
                <w:rFonts w:ascii="Calibri" w:eastAsia="SimSun" w:hAnsi="Calibri" w:cs="Times New Roman"/>
                <w:b/>
                <w:bCs/>
                <w:sz w:val="18"/>
                <w:szCs w:val="18"/>
                <w:lang w:val="ru-RU" w:eastAsia="ru-RU"/>
              </w:rPr>
            </w:pPr>
            <w:r w:rsidRPr="005808BA">
              <w:rPr>
                <w:rFonts w:ascii="Calibri" w:eastAsia="SimSun" w:hAnsi="Calibri" w:cs="Times New Roman"/>
                <w:b/>
                <w:bCs/>
                <w:sz w:val="18"/>
                <w:szCs w:val="18"/>
                <w:lang w:val="ru-RU" w:eastAsia="ru-RU"/>
              </w:rPr>
              <w:t>GRAND TOTAL (</w:t>
            </w:r>
            <w:r w:rsidRPr="005808BA">
              <w:rPr>
                <w:rFonts w:ascii="Calibri" w:eastAsia="SimSun" w:hAnsi="Calibri" w:cs="Times New Roman"/>
                <w:b/>
                <w:bCs/>
                <w:sz w:val="18"/>
                <w:szCs w:val="18"/>
                <w:lang w:val="es-PA" w:eastAsia="ru-RU"/>
              </w:rPr>
              <w:t>Grant</w:t>
            </w:r>
            <w:r w:rsidRPr="005808BA">
              <w:rPr>
                <w:rFonts w:ascii="Calibri" w:eastAsia="SimSun" w:hAnsi="Calibri" w:cs="Times New Roman"/>
                <w:b/>
                <w:bCs/>
                <w:sz w:val="18"/>
                <w:szCs w:val="18"/>
                <w:lang w:val="ru-RU" w:eastAsia="ru-RU"/>
              </w:rPr>
              <w:t>)</w:t>
            </w:r>
          </w:p>
        </w:tc>
        <w:tc>
          <w:tcPr>
            <w:tcW w:w="1260" w:type="dxa"/>
            <w:tcBorders>
              <w:top w:val="single" w:sz="4" w:space="0" w:color="auto"/>
              <w:left w:val="nil"/>
              <w:bottom w:val="single" w:sz="4" w:space="0" w:color="auto"/>
              <w:right w:val="single" w:sz="4" w:space="0" w:color="auto"/>
            </w:tcBorders>
            <w:shd w:val="clear" w:color="auto" w:fill="A6A6A6"/>
            <w:noWrap/>
            <w:vAlign w:val="bottom"/>
            <w:hideMark/>
          </w:tcPr>
          <w:p w14:paraId="32C9C4C4" w14:textId="2713BDFB" w:rsidR="00D86992" w:rsidRPr="005808BA" w:rsidRDefault="00D86992"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5</w:t>
            </w:r>
            <w:r w:rsidRPr="005808BA">
              <w:rPr>
                <w:rFonts w:ascii="Calibri" w:eastAsia="SimSun" w:hAnsi="Calibri" w:cs="Times New Roman"/>
                <w:b/>
                <w:bCs/>
                <w:sz w:val="18"/>
                <w:szCs w:val="18"/>
                <w:lang w:val="en-US" w:eastAsia="ru-RU"/>
              </w:rPr>
              <w:t>00,000</w:t>
            </w:r>
          </w:p>
        </w:tc>
        <w:tc>
          <w:tcPr>
            <w:tcW w:w="1080" w:type="dxa"/>
            <w:tcBorders>
              <w:top w:val="single" w:sz="4" w:space="0" w:color="auto"/>
              <w:left w:val="nil"/>
              <w:bottom w:val="single" w:sz="4" w:space="0" w:color="auto"/>
              <w:right w:val="single" w:sz="4" w:space="0" w:color="auto"/>
            </w:tcBorders>
            <w:shd w:val="clear" w:color="auto" w:fill="A6A6A6"/>
            <w:noWrap/>
            <w:vAlign w:val="bottom"/>
            <w:hideMark/>
          </w:tcPr>
          <w:p w14:paraId="018E6DF2" w14:textId="5E7DB0D2" w:rsidR="00D86992" w:rsidRPr="005808BA" w:rsidRDefault="00AA15F8" w:rsidP="005808BA">
            <w:pPr>
              <w:spacing w:after="0" w:line="240" w:lineRule="auto"/>
              <w:jc w:val="right"/>
              <w:rPr>
                <w:rFonts w:ascii="Calibri" w:eastAsia="SimSun" w:hAnsi="Calibri" w:cs="Times New Roman"/>
                <w:b/>
                <w:bCs/>
                <w:sz w:val="18"/>
                <w:szCs w:val="18"/>
                <w:lang w:val="en-US" w:eastAsia="ru-RU"/>
              </w:rPr>
            </w:pPr>
            <w:r w:rsidRPr="00AA15F8">
              <w:rPr>
                <w:rFonts w:ascii="Calibri" w:eastAsia="SimSun" w:hAnsi="Calibri" w:cs="Times New Roman"/>
                <w:b/>
                <w:bCs/>
                <w:sz w:val="18"/>
                <w:szCs w:val="18"/>
                <w:lang w:val="en-US" w:eastAsia="ru-RU"/>
              </w:rPr>
              <w:t>57,500</w:t>
            </w:r>
          </w:p>
        </w:tc>
        <w:tc>
          <w:tcPr>
            <w:tcW w:w="1170" w:type="dxa"/>
            <w:tcBorders>
              <w:top w:val="single" w:sz="4" w:space="0" w:color="auto"/>
              <w:left w:val="nil"/>
              <w:bottom w:val="single" w:sz="4" w:space="0" w:color="auto"/>
              <w:right w:val="single" w:sz="4" w:space="0" w:color="auto"/>
            </w:tcBorders>
            <w:shd w:val="clear" w:color="auto" w:fill="A6A6A6"/>
            <w:noWrap/>
            <w:vAlign w:val="bottom"/>
            <w:hideMark/>
          </w:tcPr>
          <w:p w14:paraId="501C8F1E" w14:textId="5D7A752E" w:rsidR="00D86992" w:rsidRPr="00364C06" w:rsidRDefault="00D86992" w:rsidP="005808BA">
            <w:pPr>
              <w:spacing w:after="0" w:line="240" w:lineRule="auto"/>
              <w:jc w:val="right"/>
              <w:rPr>
                <w:rFonts w:ascii="Calibri" w:eastAsia="SimSun" w:hAnsi="Calibri" w:cs="Times New Roman"/>
                <w:b/>
                <w:bCs/>
                <w:sz w:val="18"/>
                <w:szCs w:val="18"/>
                <w:lang w:val="en-US" w:eastAsia="ru-RU"/>
              </w:rPr>
            </w:pPr>
            <w:r>
              <w:rPr>
                <w:rFonts w:ascii="Calibri" w:eastAsia="SimSun" w:hAnsi="Calibri" w:cs="Times New Roman"/>
                <w:b/>
                <w:bCs/>
                <w:sz w:val="18"/>
                <w:szCs w:val="18"/>
                <w:lang w:val="en-US" w:eastAsia="ru-RU"/>
              </w:rPr>
              <w:t>35</w:t>
            </w:r>
            <w:r w:rsidR="00CA49D0">
              <w:rPr>
                <w:rFonts w:ascii="Calibri" w:eastAsia="SimSun" w:hAnsi="Calibri" w:cs="Times New Roman"/>
                <w:b/>
                <w:bCs/>
                <w:sz w:val="18"/>
                <w:szCs w:val="18"/>
                <w:lang w:val="en-US" w:eastAsia="ru-RU"/>
              </w:rPr>
              <w:t>5,5</w:t>
            </w:r>
            <w:r>
              <w:rPr>
                <w:rFonts w:ascii="Calibri" w:eastAsia="SimSun" w:hAnsi="Calibri" w:cs="Times New Roman"/>
                <w:b/>
                <w:bCs/>
                <w:sz w:val="18"/>
                <w:szCs w:val="18"/>
                <w:lang w:val="en-US" w:eastAsia="ru-RU"/>
              </w:rPr>
              <w:t>00</w:t>
            </w:r>
          </w:p>
        </w:tc>
        <w:tc>
          <w:tcPr>
            <w:tcW w:w="1170" w:type="dxa"/>
            <w:tcBorders>
              <w:top w:val="single" w:sz="4" w:space="0" w:color="auto"/>
              <w:left w:val="nil"/>
              <w:bottom w:val="single" w:sz="4" w:space="0" w:color="auto"/>
              <w:right w:val="single" w:sz="4" w:space="0" w:color="auto"/>
            </w:tcBorders>
            <w:shd w:val="clear" w:color="auto" w:fill="A6A6A6"/>
          </w:tcPr>
          <w:p w14:paraId="72AB4032" w14:textId="03FDD91A" w:rsidR="00D86992" w:rsidRPr="00AA15F8" w:rsidRDefault="00BD09E5" w:rsidP="005808BA">
            <w:pPr>
              <w:spacing w:after="0" w:line="240" w:lineRule="auto"/>
              <w:jc w:val="right"/>
              <w:rPr>
                <w:rFonts w:ascii="Calibri" w:eastAsia="SimSun" w:hAnsi="Calibri" w:cs="Times New Roman"/>
                <w:b/>
                <w:bCs/>
                <w:sz w:val="18"/>
                <w:szCs w:val="18"/>
                <w:lang w:val="en-US" w:eastAsia="ru-RU"/>
              </w:rPr>
            </w:pPr>
            <w:r w:rsidRPr="00BD09E5">
              <w:rPr>
                <w:rFonts w:ascii="Calibri" w:eastAsia="SimSun" w:hAnsi="Calibri" w:cs="Times New Roman"/>
                <w:b/>
                <w:bCs/>
                <w:sz w:val="18"/>
                <w:szCs w:val="18"/>
                <w:lang w:val="en-US" w:eastAsia="ru-RU"/>
              </w:rPr>
              <w:t>87,000</w:t>
            </w:r>
          </w:p>
        </w:tc>
        <w:tc>
          <w:tcPr>
            <w:tcW w:w="1530" w:type="dxa"/>
            <w:tcBorders>
              <w:top w:val="single" w:sz="4" w:space="0" w:color="auto"/>
              <w:left w:val="nil"/>
              <w:bottom w:val="single" w:sz="4" w:space="0" w:color="auto"/>
              <w:right w:val="single" w:sz="4" w:space="0" w:color="auto"/>
            </w:tcBorders>
            <w:shd w:val="clear" w:color="auto" w:fill="A6A6A6"/>
          </w:tcPr>
          <w:p w14:paraId="66E6F41C" w14:textId="77777777" w:rsidR="00D86992" w:rsidRPr="005808BA" w:rsidRDefault="00D86992" w:rsidP="005808BA">
            <w:pPr>
              <w:spacing w:after="0" w:line="240" w:lineRule="auto"/>
              <w:jc w:val="right"/>
              <w:rPr>
                <w:rFonts w:ascii="Calibri" w:eastAsia="SimSun" w:hAnsi="Calibri" w:cs="Times New Roman"/>
                <w:b/>
                <w:bCs/>
                <w:sz w:val="18"/>
                <w:szCs w:val="18"/>
                <w:lang w:val="ru-RU" w:eastAsia="ru-RU"/>
              </w:rPr>
            </w:pPr>
          </w:p>
        </w:tc>
      </w:tr>
      <w:bookmarkEnd w:id="30"/>
    </w:tbl>
    <w:p w14:paraId="339CA665" w14:textId="77777777" w:rsidR="005808BA" w:rsidRDefault="005808BA" w:rsidP="003222D4">
      <w:pPr>
        <w:rPr>
          <w:lang w:val="en-US"/>
        </w:rPr>
      </w:pPr>
    </w:p>
    <w:p w14:paraId="1BA84836" w14:textId="77777777" w:rsidR="005808BA" w:rsidRPr="005808BA" w:rsidRDefault="005808BA" w:rsidP="005808BA">
      <w:pPr>
        <w:spacing w:after="60" w:line="240" w:lineRule="auto"/>
        <w:jc w:val="both"/>
        <w:rPr>
          <w:rFonts w:ascii="Calibri" w:eastAsia="SimSun" w:hAnsi="Calibri" w:cs="Times New Roman"/>
          <w:b/>
          <w:sz w:val="20"/>
          <w:lang w:val="en-US"/>
        </w:rPr>
      </w:pPr>
      <w:r w:rsidRPr="005808BA">
        <w:rPr>
          <w:rFonts w:ascii="Calibri" w:eastAsia="SimSun" w:hAnsi="Calibri" w:cs="Times New Roman"/>
          <w:b/>
          <w:sz w:val="20"/>
          <w:lang w:val="en-US"/>
        </w:rPr>
        <w:t>Budget notes:</w:t>
      </w:r>
    </w:p>
    <w:tbl>
      <w:tblPr>
        <w:tblW w:w="1201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1534"/>
      </w:tblGrid>
      <w:tr w:rsidR="00223409" w:rsidRPr="00EE3E21" w14:paraId="428B39F9" w14:textId="77777777" w:rsidTr="00223409">
        <w:trPr>
          <w:trHeight w:val="255"/>
        </w:trPr>
        <w:tc>
          <w:tcPr>
            <w:tcW w:w="478" w:type="dxa"/>
            <w:shd w:val="clear" w:color="auto" w:fill="auto"/>
            <w:noWrap/>
            <w:hideMark/>
          </w:tcPr>
          <w:p w14:paraId="21E6F917" w14:textId="2306375D" w:rsidR="00223409" w:rsidRPr="00223409" w:rsidRDefault="00223409" w:rsidP="005808BA">
            <w:pPr>
              <w:spacing w:after="60" w:line="240" w:lineRule="auto"/>
              <w:jc w:val="center"/>
              <w:rPr>
                <w:rFonts w:ascii="Calibri" w:eastAsia="SimSun" w:hAnsi="Calibri" w:cs="Times New Roman"/>
                <w:sz w:val="18"/>
                <w:szCs w:val="18"/>
                <w:lang w:eastAsia="ru-RU"/>
              </w:rPr>
            </w:pPr>
            <w:r w:rsidRPr="005808BA">
              <w:rPr>
                <w:rFonts w:ascii="Calibri" w:eastAsia="SimSun" w:hAnsi="Calibri" w:cs="Times New Roman"/>
                <w:sz w:val="18"/>
                <w:szCs w:val="18"/>
                <w:lang w:val="ru-RU" w:eastAsia="ru-RU"/>
              </w:rPr>
              <w:t>A</w:t>
            </w:r>
          </w:p>
        </w:tc>
        <w:tc>
          <w:tcPr>
            <w:tcW w:w="11534" w:type="dxa"/>
            <w:shd w:val="clear" w:color="auto" w:fill="auto"/>
            <w:noWrap/>
            <w:vAlign w:val="bottom"/>
            <w:hideMark/>
          </w:tcPr>
          <w:p w14:paraId="34EEA70C" w14:textId="77777777" w:rsidR="00223409" w:rsidRPr="00223409" w:rsidRDefault="00223409" w:rsidP="005808BA">
            <w:pPr>
              <w:spacing w:after="60" w:line="240" w:lineRule="auto"/>
              <w:jc w:val="both"/>
              <w:rPr>
                <w:rFonts w:ascii="Calibri" w:eastAsia="SimSun" w:hAnsi="Calibri" w:cs="Times New Roman"/>
                <w:sz w:val="18"/>
                <w:szCs w:val="18"/>
                <w:highlight w:val="yellow"/>
                <w:lang w:val="en-US" w:eastAsia="ru-RU"/>
              </w:rPr>
            </w:pPr>
            <w:r w:rsidRPr="00223409">
              <w:rPr>
                <w:rFonts w:ascii="Calibri" w:eastAsia="SimSun" w:hAnsi="Calibri" w:cs="Times New Roman"/>
                <w:sz w:val="18"/>
                <w:szCs w:val="18"/>
                <w:lang w:val="ru-RU" w:eastAsia="ru-RU"/>
              </w:rPr>
              <w:t>International Consultant’s rate is calculated at 600USD per day</w:t>
            </w:r>
          </w:p>
        </w:tc>
      </w:tr>
      <w:tr w:rsidR="00223409" w:rsidRPr="00EE3E21" w14:paraId="4CF58AD0" w14:textId="77777777" w:rsidTr="00223409">
        <w:trPr>
          <w:trHeight w:val="255"/>
        </w:trPr>
        <w:tc>
          <w:tcPr>
            <w:tcW w:w="478" w:type="dxa"/>
            <w:shd w:val="clear" w:color="auto" w:fill="auto"/>
            <w:noWrap/>
            <w:hideMark/>
          </w:tcPr>
          <w:p w14:paraId="723BCB4A" w14:textId="1DE6896B" w:rsidR="00223409" w:rsidRPr="005808BA" w:rsidRDefault="00223409" w:rsidP="005808BA">
            <w:pPr>
              <w:spacing w:after="6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B</w:t>
            </w:r>
          </w:p>
        </w:tc>
        <w:tc>
          <w:tcPr>
            <w:tcW w:w="11534" w:type="dxa"/>
            <w:shd w:val="clear" w:color="auto" w:fill="auto"/>
            <w:noWrap/>
            <w:vAlign w:val="bottom"/>
            <w:hideMark/>
          </w:tcPr>
          <w:p w14:paraId="7AF2BACF" w14:textId="77777777" w:rsidR="00223409" w:rsidRPr="00223409" w:rsidRDefault="00223409" w:rsidP="005808BA">
            <w:pPr>
              <w:spacing w:after="60" w:line="240" w:lineRule="auto"/>
              <w:jc w:val="both"/>
              <w:rPr>
                <w:rFonts w:ascii="Calibri" w:eastAsia="SimSun" w:hAnsi="Calibri" w:cs="Times New Roman"/>
                <w:color w:val="000000"/>
                <w:sz w:val="18"/>
                <w:szCs w:val="18"/>
                <w:highlight w:val="yellow"/>
                <w:lang w:val="en-US" w:eastAsia="ru-RU"/>
              </w:rPr>
            </w:pPr>
            <w:r w:rsidRPr="00223409">
              <w:rPr>
                <w:rFonts w:ascii="Calibri" w:eastAsia="SimSun" w:hAnsi="Calibri" w:cs="Times New Roman"/>
                <w:color w:val="000000"/>
                <w:sz w:val="18"/>
                <w:szCs w:val="18"/>
                <w:lang w:val="en-US" w:eastAsia="ru-RU"/>
              </w:rPr>
              <w:t>National Consultant’s rate is calculated at 300 USD per day</w:t>
            </w:r>
          </w:p>
        </w:tc>
      </w:tr>
      <w:tr w:rsidR="00223409" w:rsidRPr="00EE3E21" w14:paraId="17587071" w14:textId="77777777" w:rsidTr="00223409">
        <w:trPr>
          <w:trHeight w:val="255"/>
        </w:trPr>
        <w:tc>
          <w:tcPr>
            <w:tcW w:w="478" w:type="dxa"/>
            <w:shd w:val="clear" w:color="auto" w:fill="auto"/>
            <w:noWrap/>
            <w:hideMark/>
          </w:tcPr>
          <w:p w14:paraId="02DB31E5" w14:textId="055819F1" w:rsidR="00223409" w:rsidRPr="005808BA" w:rsidRDefault="00223409" w:rsidP="005808BA">
            <w:pPr>
              <w:spacing w:after="60" w:line="240" w:lineRule="auto"/>
              <w:jc w:val="center"/>
              <w:rPr>
                <w:rFonts w:ascii="Calibri" w:eastAsia="SimSun" w:hAnsi="Calibri" w:cs="Times New Roman"/>
                <w:sz w:val="18"/>
                <w:szCs w:val="18"/>
                <w:lang w:val="ru-RU" w:eastAsia="ru-RU"/>
              </w:rPr>
            </w:pPr>
            <w:r w:rsidRPr="005808BA">
              <w:rPr>
                <w:rFonts w:ascii="Calibri" w:eastAsia="SimSun" w:hAnsi="Calibri" w:cs="Times New Roman"/>
                <w:sz w:val="18"/>
                <w:szCs w:val="18"/>
                <w:lang w:val="ru-RU" w:eastAsia="ru-RU"/>
              </w:rPr>
              <w:t>C</w:t>
            </w:r>
          </w:p>
        </w:tc>
        <w:tc>
          <w:tcPr>
            <w:tcW w:w="11534" w:type="dxa"/>
            <w:shd w:val="clear" w:color="auto" w:fill="auto"/>
            <w:noWrap/>
            <w:vAlign w:val="bottom"/>
            <w:hideMark/>
          </w:tcPr>
          <w:p w14:paraId="2E15D9FC" w14:textId="3187C801" w:rsidR="00223409" w:rsidRPr="00223409" w:rsidRDefault="00223409" w:rsidP="005808BA">
            <w:pPr>
              <w:spacing w:after="60" w:line="240" w:lineRule="auto"/>
              <w:jc w:val="both"/>
              <w:rPr>
                <w:rFonts w:ascii="Calibri" w:eastAsia="SimSun" w:hAnsi="Calibri" w:cs="Times New Roman"/>
                <w:color w:val="000000"/>
                <w:sz w:val="18"/>
                <w:szCs w:val="18"/>
                <w:highlight w:val="yellow"/>
                <w:lang w:val="en-US" w:eastAsia="ru-RU"/>
              </w:rPr>
            </w:pPr>
            <w:r w:rsidRPr="00223409">
              <w:rPr>
                <w:rFonts w:ascii="Calibri" w:eastAsia="SimSun" w:hAnsi="Calibri" w:cs="Times New Roman"/>
                <w:color w:val="000000"/>
                <w:sz w:val="18"/>
                <w:szCs w:val="18"/>
                <w:lang w:val="en-US" w:eastAsia="ru-RU"/>
              </w:rPr>
              <w:t>International/ National Consultant’s travel, 20 percent consultant rate allocated for travel + travel cost for field research/data gathering/field visits, including consultant travel related to different sectors of the development of the National Action Plan</w:t>
            </w:r>
          </w:p>
        </w:tc>
      </w:tr>
      <w:tr w:rsidR="00223409" w:rsidRPr="00EE3E21" w14:paraId="2193C4DD" w14:textId="77777777" w:rsidTr="00223409">
        <w:trPr>
          <w:trHeight w:val="255"/>
        </w:trPr>
        <w:tc>
          <w:tcPr>
            <w:tcW w:w="478" w:type="dxa"/>
            <w:shd w:val="clear" w:color="auto" w:fill="auto"/>
            <w:noWrap/>
          </w:tcPr>
          <w:p w14:paraId="6269FE4E" w14:textId="30748CFB" w:rsidR="00223409" w:rsidRPr="00223409" w:rsidRDefault="00223409" w:rsidP="005808BA">
            <w:pPr>
              <w:spacing w:after="60" w:line="240" w:lineRule="auto"/>
              <w:jc w:val="center"/>
              <w:rPr>
                <w:rFonts w:ascii="Calibri" w:eastAsia="SimSun" w:hAnsi="Calibri" w:cs="Times New Roman"/>
                <w:sz w:val="18"/>
                <w:szCs w:val="18"/>
                <w:lang w:eastAsia="ru-RU"/>
              </w:rPr>
            </w:pPr>
            <w:r>
              <w:rPr>
                <w:rFonts w:ascii="Calibri" w:eastAsia="SimSun" w:hAnsi="Calibri" w:cs="Times New Roman"/>
                <w:sz w:val="18"/>
                <w:szCs w:val="18"/>
                <w:lang w:eastAsia="ru-RU"/>
              </w:rPr>
              <w:t>D</w:t>
            </w:r>
          </w:p>
        </w:tc>
        <w:tc>
          <w:tcPr>
            <w:tcW w:w="11534" w:type="dxa"/>
            <w:shd w:val="clear" w:color="auto" w:fill="auto"/>
            <w:noWrap/>
          </w:tcPr>
          <w:p w14:paraId="174DDFEA" w14:textId="3DEE4D90" w:rsidR="00223409" w:rsidRPr="00223409" w:rsidRDefault="00223409" w:rsidP="005808BA">
            <w:pPr>
              <w:spacing w:after="60" w:line="240" w:lineRule="auto"/>
              <w:jc w:val="both"/>
              <w:rPr>
                <w:rFonts w:ascii="Calibri" w:eastAsia="SimSun" w:hAnsi="Calibri" w:cs="Times New Roman"/>
                <w:sz w:val="18"/>
                <w:szCs w:val="18"/>
                <w:lang w:val="en-US" w:eastAsia="ru-RU"/>
              </w:rPr>
            </w:pPr>
            <w:r w:rsidRPr="00223409">
              <w:rPr>
                <w:rFonts w:ascii="Calibri" w:eastAsia="SimSun" w:hAnsi="Calibri" w:cs="Times New Roman"/>
                <w:sz w:val="18"/>
                <w:szCs w:val="18"/>
                <w:lang w:val="en-US" w:eastAsia="ru-RU"/>
              </w:rPr>
              <w:t xml:space="preserve">Contractual service </w:t>
            </w:r>
            <w:r w:rsidR="00AA15F8" w:rsidRPr="00223409">
              <w:rPr>
                <w:rFonts w:ascii="Calibri" w:eastAsia="SimSun" w:hAnsi="Calibri" w:cs="Times New Roman"/>
                <w:sz w:val="18"/>
                <w:szCs w:val="18"/>
                <w:lang w:val="en-US" w:eastAsia="ru-RU"/>
              </w:rPr>
              <w:t>companies’</w:t>
            </w:r>
            <w:r w:rsidRPr="00223409">
              <w:rPr>
                <w:rFonts w:ascii="Calibri" w:eastAsia="SimSun" w:hAnsi="Calibri" w:cs="Times New Roman"/>
                <w:sz w:val="18"/>
                <w:szCs w:val="18"/>
                <w:lang w:val="en-US" w:eastAsia="ru-RU"/>
              </w:rPr>
              <w:t xml:space="preserve"> costs associated with collection, analysis and dissemination of inventory data</w:t>
            </w:r>
            <w:r w:rsidR="006F0C70">
              <w:rPr>
                <w:rFonts w:ascii="Calibri" w:eastAsia="SimSun" w:hAnsi="Calibri" w:cs="Times New Roman"/>
                <w:sz w:val="18"/>
                <w:szCs w:val="18"/>
                <w:lang w:val="en-US" w:eastAsia="ru-RU"/>
              </w:rPr>
              <w:t xml:space="preserve"> (no travel cost included)</w:t>
            </w:r>
          </w:p>
        </w:tc>
      </w:tr>
      <w:tr w:rsidR="00223409" w:rsidRPr="00EE3E21" w14:paraId="388EA6B2" w14:textId="77777777" w:rsidTr="00223409">
        <w:trPr>
          <w:trHeight w:val="255"/>
        </w:trPr>
        <w:tc>
          <w:tcPr>
            <w:tcW w:w="478" w:type="dxa"/>
            <w:shd w:val="clear" w:color="auto" w:fill="auto"/>
            <w:noWrap/>
            <w:hideMark/>
          </w:tcPr>
          <w:p w14:paraId="36DE6C01" w14:textId="23A99D59" w:rsidR="00223409" w:rsidRPr="005808BA" w:rsidRDefault="00223409" w:rsidP="005808BA">
            <w:pPr>
              <w:spacing w:after="60" w:line="240" w:lineRule="auto"/>
              <w:jc w:val="center"/>
              <w:rPr>
                <w:rFonts w:ascii="Calibri" w:eastAsia="SimSun" w:hAnsi="Calibri" w:cs="Times New Roman"/>
                <w:sz w:val="18"/>
                <w:szCs w:val="18"/>
                <w:lang w:val="ru-RU" w:eastAsia="ru-RU"/>
              </w:rPr>
            </w:pPr>
            <w:r>
              <w:rPr>
                <w:rFonts w:ascii="Calibri" w:eastAsia="SimSun" w:hAnsi="Calibri" w:cs="Times New Roman"/>
                <w:sz w:val="18"/>
                <w:szCs w:val="18"/>
                <w:lang w:val="ru-RU" w:eastAsia="ru-RU"/>
              </w:rPr>
              <w:t>E</w:t>
            </w:r>
          </w:p>
        </w:tc>
        <w:tc>
          <w:tcPr>
            <w:tcW w:w="11534" w:type="dxa"/>
            <w:shd w:val="clear" w:color="auto" w:fill="auto"/>
            <w:noWrap/>
            <w:hideMark/>
          </w:tcPr>
          <w:p w14:paraId="0DE22ABF" w14:textId="05F3BCE4" w:rsidR="00223409" w:rsidRPr="00223409" w:rsidRDefault="00223409" w:rsidP="005808BA">
            <w:pPr>
              <w:spacing w:after="60" w:line="240" w:lineRule="auto"/>
              <w:jc w:val="both"/>
              <w:rPr>
                <w:rFonts w:ascii="Calibri" w:eastAsia="SimSun" w:hAnsi="Calibri" w:cs="Times New Roman"/>
                <w:sz w:val="18"/>
                <w:szCs w:val="18"/>
                <w:highlight w:val="yellow"/>
                <w:lang w:val="en-US" w:eastAsia="ru-RU"/>
              </w:rPr>
            </w:pPr>
            <w:r w:rsidRPr="00223409">
              <w:rPr>
                <w:rFonts w:ascii="Calibri" w:eastAsia="SimSun" w:hAnsi="Calibri" w:cs="Times New Roman"/>
                <w:sz w:val="18"/>
                <w:szCs w:val="18"/>
                <w:lang w:val="en-US" w:eastAsia="ru-RU"/>
              </w:rPr>
              <w:t>These costs are for communication products for public and policy makers awareness, knowledge sharing.</w:t>
            </w:r>
          </w:p>
        </w:tc>
      </w:tr>
      <w:tr w:rsidR="00223409" w:rsidRPr="00EE3E21" w14:paraId="745C5C2C" w14:textId="77777777" w:rsidTr="00223409">
        <w:trPr>
          <w:trHeight w:val="255"/>
        </w:trPr>
        <w:tc>
          <w:tcPr>
            <w:tcW w:w="478" w:type="dxa"/>
            <w:shd w:val="clear" w:color="auto" w:fill="auto"/>
            <w:noWrap/>
            <w:hideMark/>
          </w:tcPr>
          <w:p w14:paraId="539DD52D" w14:textId="5627A6C0" w:rsidR="00223409" w:rsidRPr="005808BA" w:rsidRDefault="00223409" w:rsidP="005808BA">
            <w:pPr>
              <w:spacing w:after="60" w:line="240" w:lineRule="auto"/>
              <w:jc w:val="center"/>
              <w:rPr>
                <w:rFonts w:ascii="Calibri" w:eastAsia="SimSun" w:hAnsi="Calibri" w:cs="Times New Roman"/>
                <w:sz w:val="18"/>
                <w:szCs w:val="18"/>
                <w:lang w:val="ru-RU" w:eastAsia="ru-RU"/>
              </w:rPr>
            </w:pPr>
            <w:r>
              <w:rPr>
                <w:rFonts w:ascii="Calibri" w:eastAsia="SimSun" w:hAnsi="Calibri" w:cs="Times New Roman"/>
                <w:sz w:val="18"/>
                <w:szCs w:val="18"/>
                <w:lang w:val="ru-RU" w:eastAsia="ru-RU"/>
              </w:rPr>
              <w:t>F</w:t>
            </w:r>
          </w:p>
        </w:tc>
        <w:tc>
          <w:tcPr>
            <w:tcW w:w="11534" w:type="dxa"/>
            <w:shd w:val="clear" w:color="auto" w:fill="auto"/>
            <w:noWrap/>
            <w:hideMark/>
          </w:tcPr>
          <w:p w14:paraId="6908095E" w14:textId="06033677" w:rsidR="00223409" w:rsidRPr="00223409" w:rsidRDefault="00223409" w:rsidP="005808BA">
            <w:pPr>
              <w:spacing w:after="60" w:line="240" w:lineRule="auto"/>
              <w:jc w:val="both"/>
              <w:rPr>
                <w:rFonts w:ascii="Calibri" w:eastAsia="SimSun" w:hAnsi="Calibri" w:cs="Times New Roman"/>
                <w:sz w:val="18"/>
                <w:szCs w:val="18"/>
                <w:highlight w:val="yellow"/>
                <w:lang w:val="en-US" w:eastAsia="ru-RU"/>
              </w:rPr>
            </w:pPr>
            <w:r w:rsidRPr="00223409">
              <w:rPr>
                <w:rFonts w:ascii="Calibri" w:eastAsia="SimSun" w:hAnsi="Calibri" w:cs="Times New Roman"/>
                <w:sz w:val="18"/>
                <w:szCs w:val="18"/>
                <w:lang w:val="en-US" w:eastAsia="ru-RU"/>
              </w:rPr>
              <w:t>This includes inception (kickoff) workshop (component 1) and inter sectorial working groups meetings and workshops, knowledge exchanges. Also training workshops, knowledge exchanges, sensitization of vulnerable communities, and public awareness activities</w:t>
            </w:r>
          </w:p>
        </w:tc>
      </w:tr>
      <w:tr w:rsidR="00223409" w:rsidRPr="005808BA" w14:paraId="6AD1A675" w14:textId="77777777" w:rsidTr="00223409">
        <w:trPr>
          <w:trHeight w:val="255"/>
        </w:trPr>
        <w:tc>
          <w:tcPr>
            <w:tcW w:w="478" w:type="dxa"/>
            <w:shd w:val="clear" w:color="auto" w:fill="auto"/>
            <w:noWrap/>
            <w:hideMark/>
          </w:tcPr>
          <w:p w14:paraId="1648FBF3" w14:textId="71F23650" w:rsidR="00223409" w:rsidRPr="005808BA" w:rsidRDefault="00223409" w:rsidP="005808BA">
            <w:pPr>
              <w:spacing w:after="60" w:line="240" w:lineRule="auto"/>
              <w:jc w:val="center"/>
              <w:rPr>
                <w:rFonts w:ascii="Calibri" w:eastAsia="SimSun" w:hAnsi="Calibri" w:cs="Times New Roman"/>
                <w:sz w:val="18"/>
                <w:szCs w:val="18"/>
                <w:lang w:val="ru-RU" w:eastAsia="ru-RU"/>
              </w:rPr>
            </w:pPr>
            <w:r>
              <w:rPr>
                <w:rFonts w:ascii="Calibri" w:eastAsia="SimSun" w:hAnsi="Calibri" w:cs="Times New Roman"/>
                <w:sz w:val="18"/>
                <w:szCs w:val="18"/>
                <w:lang w:val="ru-RU" w:eastAsia="ru-RU"/>
              </w:rPr>
              <w:t>G</w:t>
            </w:r>
          </w:p>
        </w:tc>
        <w:tc>
          <w:tcPr>
            <w:tcW w:w="11534" w:type="dxa"/>
            <w:shd w:val="clear" w:color="auto" w:fill="auto"/>
            <w:noWrap/>
            <w:hideMark/>
          </w:tcPr>
          <w:p w14:paraId="08F6456A" w14:textId="77777777" w:rsidR="00223409" w:rsidRPr="00223409" w:rsidRDefault="00223409" w:rsidP="005808BA">
            <w:pPr>
              <w:spacing w:after="60" w:line="240" w:lineRule="auto"/>
              <w:jc w:val="both"/>
              <w:rPr>
                <w:rFonts w:ascii="Calibri" w:eastAsia="SimSun" w:hAnsi="Calibri" w:cs="Times New Roman"/>
                <w:sz w:val="18"/>
                <w:szCs w:val="18"/>
                <w:highlight w:val="yellow"/>
                <w:lang w:val="en-US" w:eastAsia="ru-RU"/>
              </w:rPr>
            </w:pPr>
            <w:r w:rsidRPr="00223409">
              <w:rPr>
                <w:rFonts w:ascii="Calibri" w:eastAsia="SimSun" w:hAnsi="Calibri" w:cs="Times New Roman"/>
                <w:sz w:val="18"/>
                <w:szCs w:val="18"/>
                <w:lang w:val="en-US" w:eastAsia="ru-RU"/>
              </w:rPr>
              <w:t>Miscellaneous costs</w:t>
            </w:r>
          </w:p>
        </w:tc>
      </w:tr>
      <w:tr w:rsidR="00223409" w:rsidRPr="00EE3E21" w14:paraId="6278415C" w14:textId="77777777" w:rsidTr="00223409">
        <w:trPr>
          <w:trHeight w:val="255"/>
        </w:trPr>
        <w:tc>
          <w:tcPr>
            <w:tcW w:w="478" w:type="dxa"/>
            <w:shd w:val="clear" w:color="auto" w:fill="auto"/>
            <w:noWrap/>
          </w:tcPr>
          <w:p w14:paraId="6275EAE3" w14:textId="7C5C3BFE" w:rsidR="00223409" w:rsidRPr="005808BA" w:rsidRDefault="00223409" w:rsidP="005808BA">
            <w:pPr>
              <w:spacing w:after="60" w:line="240" w:lineRule="auto"/>
              <w:jc w:val="center"/>
              <w:rPr>
                <w:rFonts w:ascii="Calibri" w:eastAsia="SimSun" w:hAnsi="Calibri" w:cs="Times New Roman"/>
                <w:sz w:val="18"/>
                <w:szCs w:val="18"/>
                <w:lang w:val="es-PA" w:eastAsia="ru-RU"/>
              </w:rPr>
            </w:pPr>
            <w:r>
              <w:rPr>
                <w:rFonts w:ascii="Calibri" w:eastAsia="SimSun" w:hAnsi="Calibri" w:cs="Times New Roman"/>
                <w:sz w:val="18"/>
                <w:szCs w:val="18"/>
                <w:lang w:val="es-PA" w:eastAsia="ru-RU"/>
              </w:rPr>
              <w:t>H</w:t>
            </w:r>
          </w:p>
        </w:tc>
        <w:tc>
          <w:tcPr>
            <w:tcW w:w="11534" w:type="dxa"/>
            <w:shd w:val="clear" w:color="auto" w:fill="auto"/>
            <w:noWrap/>
          </w:tcPr>
          <w:p w14:paraId="60C0E0AD" w14:textId="76128329" w:rsidR="00223409" w:rsidRPr="00223409" w:rsidRDefault="00223409" w:rsidP="008A3D02">
            <w:pPr>
              <w:spacing w:after="60" w:line="240" w:lineRule="auto"/>
              <w:jc w:val="both"/>
              <w:rPr>
                <w:rFonts w:ascii="Calibri" w:eastAsia="SimSun" w:hAnsi="Calibri" w:cs="Times New Roman"/>
                <w:sz w:val="18"/>
                <w:szCs w:val="18"/>
                <w:lang w:val="en-US" w:eastAsia="ru-RU"/>
              </w:rPr>
            </w:pPr>
            <w:r w:rsidRPr="00223409">
              <w:rPr>
                <w:rFonts w:ascii="Calibri" w:eastAsia="SimSun" w:hAnsi="Calibri" w:cs="Times New Roman"/>
                <w:sz w:val="18"/>
                <w:szCs w:val="18"/>
                <w:lang w:val="en-US" w:eastAsia="ru-RU"/>
              </w:rPr>
              <w:t xml:space="preserve">Local consultant in support monitoring NAP assessment and stakeholder consultation </w:t>
            </w:r>
          </w:p>
        </w:tc>
      </w:tr>
      <w:tr w:rsidR="00223409" w:rsidRPr="00EE3E21" w14:paraId="59EF0539" w14:textId="77777777" w:rsidTr="00223409">
        <w:trPr>
          <w:trHeight w:val="255"/>
        </w:trPr>
        <w:tc>
          <w:tcPr>
            <w:tcW w:w="478" w:type="dxa"/>
            <w:shd w:val="clear" w:color="auto" w:fill="auto"/>
            <w:noWrap/>
          </w:tcPr>
          <w:p w14:paraId="3A705192" w14:textId="5D99F5C9" w:rsidR="00223409" w:rsidRPr="005808BA" w:rsidRDefault="00223409" w:rsidP="005808BA">
            <w:pPr>
              <w:spacing w:after="60" w:line="240" w:lineRule="auto"/>
              <w:jc w:val="center"/>
              <w:rPr>
                <w:rFonts w:ascii="Calibri" w:eastAsia="SimSun" w:hAnsi="Calibri" w:cs="Times New Roman"/>
                <w:sz w:val="18"/>
                <w:szCs w:val="18"/>
                <w:lang w:val="es-PA" w:eastAsia="ru-RU"/>
              </w:rPr>
            </w:pPr>
            <w:r>
              <w:rPr>
                <w:rFonts w:ascii="Calibri" w:eastAsia="SimSun" w:hAnsi="Calibri" w:cs="Times New Roman"/>
                <w:sz w:val="18"/>
                <w:szCs w:val="18"/>
                <w:lang w:val="es-PA" w:eastAsia="ru-RU"/>
              </w:rPr>
              <w:t>I</w:t>
            </w:r>
          </w:p>
        </w:tc>
        <w:tc>
          <w:tcPr>
            <w:tcW w:w="11534" w:type="dxa"/>
            <w:shd w:val="clear" w:color="auto" w:fill="auto"/>
            <w:noWrap/>
          </w:tcPr>
          <w:p w14:paraId="01F61E24" w14:textId="668F0AC2" w:rsidR="00223409" w:rsidRPr="00223409" w:rsidRDefault="00223409" w:rsidP="008A3D02">
            <w:pPr>
              <w:spacing w:after="60" w:line="240" w:lineRule="auto"/>
              <w:jc w:val="both"/>
              <w:rPr>
                <w:rFonts w:ascii="Calibri" w:eastAsia="SimSun" w:hAnsi="Calibri" w:cs="Times New Roman"/>
                <w:sz w:val="18"/>
                <w:szCs w:val="18"/>
                <w:lang w:val="en-US" w:eastAsia="ru-RU"/>
              </w:rPr>
            </w:pPr>
            <w:r w:rsidRPr="00223409">
              <w:rPr>
                <w:rFonts w:ascii="Calibri" w:eastAsia="SimSun" w:hAnsi="Calibri" w:cs="Times New Roman"/>
                <w:sz w:val="18"/>
                <w:szCs w:val="18"/>
                <w:lang w:val="en-US" w:eastAsia="ru-RU"/>
              </w:rPr>
              <w:t xml:space="preserve">Travel for monitoring NAP assessment and stakeholder consultation  </w:t>
            </w:r>
          </w:p>
        </w:tc>
      </w:tr>
      <w:tr w:rsidR="00223409" w:rsidRPr="00EE3E21" w14:paraId="47DF3803" w14:textId="77777777" w:rsidTr="00223409">
        <w:trPr>
          <w:trHeight w:val="255"/>
        </w:trPr>
        <w:tc>
          <w:tcPr>
            <w:tcW w:w="478" w:type="dxa"/>
            <w:shd w:val="clear" w:color="auto" w:fill="auto"/>
            <w:noWrap/>
          </w:tcPr>
          <w:p w14:paraId="29F91EE7" w14:textId="1DE1C88D" w:rsidR="00223409" w:rsidRPr="005808BA" w:rsidRDefault="00223409" w:rsidP="005808BA">
            <w:pPr>
              <w:spacing w:after="60" w:line="240" w:lineRule="auto"/>
              <w:jc w:val="center"/>
              <w:rPr>
                <w:rFonts w:ascii="Calibri" w:eastAsia="SimSun" w:hAnsi="Calibri" w:cs="Times New Roman"/>
                <w:sz w:val="18"/>
                <w:szCs w:val="18"/>
                <w:lang w:val="es-PA" w:eastAsia="ru-RU"/>
              </w:rPr>
            </w:pPr>
            <w:r>
              <w:rPr>
                <w:rFonts w:ascii="Calibri" w:eastAsia="SimSun" w:hAnsi="Calibri" w:cs="Times New Roman"/>
                <w:sz w:val="18"/>
                <w:szCs w:val="18"/>
                <w:lang w:val="es-PA" w:eastAsia="ru-RU"/>
              </w:rPr>
              <w:t>J</w:t>
            </w:r>
          </w:p>
        </w:tc>
        <w:tc>
          <w:tcPr>
            <w:tcW w:w="11534" w:type="dxa"/>
            <w:shd w:val="clear" w:color="auto" w:fill="auto"/>
            <w:noWrap/>
          </w:tcPr>
          <w:p w14:paraId="55235776" w14:textId="77777777" w:rsidR="00223409" w:rsidRPr="00223409" w:rsidRDefault="00223409" w:rsidP="005808BA">
            <w:pPr>
              <w:spacing w:after="60" w:line="240" w:lineRule="auto"/>
              <w:jc w:val="both"/>
              <w:rPr>
                <w:rFonts w:ascii="Calibri" w:eastAsia="SimSun" w:hAnsi="Calibri" w:cs="Times New Roman"/>
                <w:sz w:val="18"/>
                <w:szCs w:val="18"/>
                <w:lang w:val="en-US" w:eastAsia="ru-RU"/>
              </w:rPr>
            </w:pPr>
            <w:r w:rsidRPr="00223409">
              <w:rPr>
                <w:rFonts w:ascii="Calibri" w:eastAsia="SimSun" w:hAnsi="Calibri" w:cs="Times New Roman"/>
                <w:sz w:val="18"/>
                <w:szCs w:val="18"/>
                <w:lang w:val="en-US" w:eastAsia="ru-RU"/>
              </w:rPr>
              <w:t>Contractual services provided by the implementing partner in the management of the project</w:t>
            </w:r>
          </w:p>
        </w:tc>
      </w:tr>
      <w:tr w:rsidR="00223409" w:rsidRPr="005808BA" w14:paraId="79663D15" w14:textId="77777777" w:rsidTr="00223409">
        <w:trPr>
          <w:trHeight w:val="255"/>
        </w:trPr>
        <w:tc>
          <w:tcPr>
            <w:tcW w:w="478" w:type="dxa"/>
            <w:shd w:val="clear" w:color="auto" w:fill="auto"/>
            <w:noWrap/>
          </w:tcPr>
          <w:p w14:paraId="5974A561" w14:textId="66975DD3" w:rsidR="00223409" w:rsidRPr="005808BA" w:rsidRDefault="00223409" w:rsidP="005808BA">
            <w:pPr>
              <w:spacing w:after="60" w:line="240" w:lineRule="auto"/>
              <w:jc w:val="center"/>
              <w:rPr>
                <w:rFonts w:ascii="Calibri" w:eastAsia="SimSun" w:hAnsi="Calibri" w:cs="Times New Roman"/>
                <w:sz w:val="18"/>
                <w:szCs w:val="18"/>
                <w:lang w:val="es-PA" w:eastAsia="ru-RU"/>
              </w:rPr>
            </w:pPr>
            <w:r>
              <w:rPr>
                <w:rFonts w:ascii="Calibri" w:eastAsia="SimSun" w:hAnsi="Calibri" w:cs="Times New Roman"/>
                <w:sz w:val="18"/>
                <w:szCs w:val="18"/>
                <w:lang w:val="es-PA" w:eastAsia="ru-RU"/>
              </w:rPr>
              <w:t>K</w:t>
            </w:r>
          </w:p>
        </w:tc>
        <w:tc>
          <w:tcPr>
            <w:tcW w:w="11534" w:type="dxa"/>
            <w:shd w:val="clear" w:color="auto" w:fill="auto"/>
            <w:noWrap/>
          </w:tcPr>
          <w:p w14:paraId="6AF94F5B" w14:textId="77777777" w:rsidR="00223409" w:rsidRPr="00223409" w:rsidRDefault="00223409" w:rsidP="005808BA">
            <w:pPr>
              <w:spacing w:after="60" w:line="240" w:lineRule="auto"/>
              <w:jc w:val="both"/>
              <w:rPr>
                <w:rFonts w:ascii="Calibri" w:eastAsia="SimSun" w:hAnsi="Calibri" w:cs="Times New Roman"/>
                <w:sz w:val="18"/>
                <w:szCs w:val="18"/>
                <w:lang w:val="en-US"/>
              </w:rPr>
            </w:pPr>
            <w:r w:rsidRPr="00223409">
              <w:rPr>
                <w:rFonts w:ascii="Calibri" w:eastAsia="SimSun" w:hAnsi="Calibri" w:cs="Times New Roman"/>
                <w:sz w:val="18"/>
                <w:szCs w:val="18"/>
                <w:lang w:val="en-US"/>
              </w:rPr>
              <w:t xml:space="preserve">Refer to Annex “Letter of Agreement for Direct Project Services”. As agreed with NIMOS. </w:t>
            </w:r>
          </w:p>
        </w:tc>
      </w:tr>
      <w:tr w:rsidR="00223409" w:rsidRPr="00EE3E21" w14:paraId="7FEA4889" w14:textId="77777777" w:rsidTr="00223409">
        <w:trPr>
          <w:trHeight w:val="255"/>
        </w:trPr>
        <w:tc>
          <w:tcPr>
            <w:tcW w:w="478" w:type="dxa"/>
            <w:shd w:val="clear" w:color="auto" w:fill="auto"/>
            <w:noWrap/>
          </w:tcPr>
          <w:p w14:paraId="6242458A" w14:textId="4399B57F" w:rsidR="00223409" w:rsidRPr="005808BA" w:rsidRDefault="00223409" w:rsidP="005808BA">
            <w:pPr>
              <w:spacing w:after="60" w:line="240" w:lineRule="auto"/>
              <w:jc w:val="center"/>
              <w:rPr>
                <w:rFonts w:ascii="Calibri" w:eastAsia="SimSun" w:hAnsi="Calibri" w:cs="Times New Roman"/>
                <w:sz w:val="18"/>
                <w:szCs w:val="18"/>
                <w:lang w:val="es-PA" w:eastAsia="ru-RU"/>
              </w:rPr>
            </w:pPr>
            <w:r>
              <w:rPr>
                <w:rFonts w:ascii="Calibri" w:eastAsia="SimSun" w:hAnsi="Calibri" w:cs="Times New Roman"/>
                <w:sz w:val="18"/>
                <w:szCs w:val="18"/>
                <w:lang w:val="es-PA" w:eastAsia="ru-RU"/>
              </w:rPr>
              <w:t>L</w:t>
            </w:r>
          </w:p>
        </w:tc>
        <w:tc>
          <w:tcPr>
            <w:tcW w:w="11534" w:type="dxa"/>
            <w:shd w:val="clear" w:color="auto" w:fill="auto"/>
            <w:noWrap/>
          </w:tcPr>
          <w:p w14:paraId="2372A32A" w14:textId="77777777" w:rsidR="00223409" w:rsidRPr="00223409" w:rsidRDefault="00223409" w:rsidP="005808BA">
            <w:pPr>
              <w:spacing w:after="60" w:line="240" w:lineRule="auto"/>
              <w:jc w:val="both"/>
              <w:rPr>
                <w:rFonts w:ascii="Calibri" w:eastAsia="SimSun" w:hAnsi="Calibri" w:cs="Times New Roman"/>
                <w:sz w:val="18"/>
                <w:szCs w:val="18"/>
                <w:lang w:val="en-US"/>
              </w:rPr>
            </w:pPr>
            <w:r w:rsidRPr="00223409">
              <w:rPr>
                <w:rFonts w:ascii="Calibri" w:eastAsia="SimSun" w:hAnsi="Calibri" w:cs="Times New Roman"/>
                <w:sz w:val="18"/>
                <w:szCs w:val="18"/>
                <w:lang w:val="en-US"/>
              </w:rPr>
              <w:t>Audit to be carried out by professional services once throughout project duration</w:t>
            </w:r>
          </w:p>
        </w:tc>
      </w:tr>
      <w:tr w:rsidR="00223409" w:rsidRPr="00EE3E21" w14:paraId="6A8BCB27" w14:textId="77777777" w:rsidTr="00223409">
        <w:trPr>
          <w:trHeight w:val="255"/>
        </w:trPr>
        <w:tc>
          <w:tcPr>
            <w:tcW w:w="478" w:type="dxa"/>
            <w:shd w:val="clear" w:color="auto" w:fill="auto"/>
            <w:noWrap/>
          </w:tcPr>
          <w:p w14:paraId="1D0F3316" w14:textId="0FFD9893" w:rsidR="00223409" w:rsidRDefault="00223409" w:rsidP="005808BA">
            <w:pPr>
              <w:spacing w:after="60" w:line="240" w:lineRule="auto"/>
              <w:jc w:val="center"/>
              <w:rPr>
                <w:rFonts w:ascii="Calibri" w:eastAsia="SimSun" w:hAnsi="Calibri" w:cs="Times New Roman"/>
                <w:sz w:val="18"/>
                <w:szCs w:val="18"/>
                <w:lang w:val="es-PA" w:eastAsia="ru-RU"/>
              </w:rPr>
            </w:pPr>
            <w:r>
              <w:rPr>
                <w:rFonts w:ascii="Calibri" w:eastAsia="SimSun" w:hAnsi="Calibri" w:cs="Times New Roman"/>
                <w:sz w:val="18"/>
                <w:szCs w:val="18"/>
                <w:lang w:val="es-PA" w:eastAsia="ru-RU"/>
              </w:rPr>
              <w:t>M</w:t>
            </w:r>
          </w:p>
        </w:tc>
        <w:tc>
          <w:tcPr>
            <w:tcW w:w="11534" w:type="dxa"/>
            <w:shd w:val="clear" w:color="auto" w:fill="auto"/>
            <w:noWrap/>
          </w:tcPr>
          <w:p w14:paraId="6B27A257" w14:textId="0ED2E71E" w:rsidR="00223409" w:rsidRPr="00223409" w:rsidRDefault="00223409" w:rsidP="005808BA">
            <w:pPr>
              <w:spacing w:after="60" w:line="240" w:lineRule="auto"/>
              <w:jc w:val="both"/>
              <w:rPr>
                <w:rFonts w:ascii="Calibri" w:eastAsia="SimSun" w:hAnsi="Calibri" w:cs="Times New Roman"/>
                <w:sz w:val="18"/>
                <w:szCs w:val="18"/>
                <w:lang w:val="en-US"/>
              </w:rPr>
            </w:pPr>
            <w:r w:rsidRPr="00223409">
              <w:rPr>
                <w:rFonts w:ascii="Calibri" w:eastAsia="SimSun" w:hAnsi="Calibri" w:cs="Times New Roman"/>
                <w:sz w:val="18"/>
                <w:szCs w:val="18"/>
                <w:lang w:val="en-US"/>
              </w:rPr>
              <w:t>Supplies for management of the project</w:t>
            </w:r>
          </w:p>
        </w:tc>
      </w:tr>
    </w:tbl>
    <w:p w14:paraId="59EDBE82" w14:textId="77777777" w:rsidR="005808BA" w:rsidRDefault="005808BA" w:rsidP="003222D4">
      <w:pPr>
        <w:rPr>
          <w:lang w:val="en-US"/>
        </w:rPr>
      </w:pPr>
    </w:p>
    <w:p w14:paraId="2584AB0A" w14:textId="5AA484A1" w:rsidR="005808BA" w:rsidRPr="005808BA" w:rsidRDefault="000C51C0" w:rsidP="00496F5F">
      <w:pPr>
        <w:rPr>
          <w:rFonts w:ascii="Calibri" w:eastAsia="SimSun" w:hAnsi="Calibri" w:cs="Times New Roman"/>
          <w:b/>
          <w:smallCaps/>
          <w:spacing w:val="-2"/>
          <w:sz w:val="28"/>
          <w:szCs w:val="20"/>
          <w:lang w:val="en-US"/>
        </w:rPr>
      </w:pPr>
      <w:r>
        <w:rPr>
          <w:lang w:val="en-US"/>
        </w:rPr>
        <w:br w:type="page"/>
      </w:r>
      <w:bookmarkStart w:id="31" w:name="_Toc487589379"/>
      <w:r w:rsidR="005808BA" w:rsidRPr="005808BA">
        <w:rPr>
          <w:rFonts w:ascii="Calibri" w:eastAsia="SimSun" w:hAnsi="Calibri" w:cs="Times New Roman"/>
          <w:b/>
          <w:smallCaps/>
          <w:spacing w:val="-2"/>
          <w:sz w:val="28"/>
          <w:szCs w:val="20"/>
          <w:lang w:val="en-US"/>
        </w:rPr>
        <w:lastRenderedPageBreak/>
        <w:t>List of Mandatory Annexes</w:t>
      </w:r>
      <w:bookmarkEnd w:id="31"/>
    </w:p>
    <w:p w14:paraId="6DA264B0" w14:textId="5B57E292" w:rsidR="005808BA" w:rsidRPr="005808BA" w:rsidRDefault="005808BA" w:rsidP="005808BA">
      <w:pPr>
        <w:numPr>
          <w:ilvl w:val="0"/>
          <w:numId w:val="10"/>
        </w:numPr>
        <w:spacing w:after="0" w:line="240" w:lineRule="auto"/>
        <w:jc w:val="both"/>
        <w:rPr>
          <w:rFonts w:ascii="Calibri" w:eastAsia="SimSun" w:hAnsi="Calibri" w:cs="Times New Roman"/>
          <w:sz w:val="20"/>
          <w:szCs w:val="20"/>
          <w:lang w:val="en-US"/>
        </w:rPr>
      </w:pPr>
      <w:bookmarkStart w:id="32" w:name="_Toc407785531"/>
      <w:r w:rsidRPr="005808BA">
        <w:rPr>
          <w:rFonts w:ascii="Calibri" w:eastAsia="SimSun" w:hAnsi="Calibri" w:cs="Times New Roman"/>
          <w:sz w:val="20"/>
          <w:szCs w:val="20"/>
          <w:lang w:val="en-US"/>
        </w:rPr>
        <w:t>Multi</w:t>
      </w:r>
      <w:r w:rsidR="00D93BCA">
        <w:rPr>
          <w:rFonts w:ascii="Calibri" w:eastAsia="SimSun" w:hAnsi="Calibri" w:cs="Times New Roman"/>
          <w:sz w:val="20"/>
          <w:szCs w:val="20"/>
          <w:lang w:val="en-US"/>
        </w:rPr>
        <w:t>-</w:t>
      </w:r>
      <w:r w:rsidRPr="005808BA">
        <w:rPr>
          <w:rFonts w:ascii="Calibri" w:eastAsia="SimSun" w:hAnsi="Calibri" w:cs="Times New Roman"/>
          <w:sz w:val="20"/>
          <w:szCs w:val="20"/>
          <w:lang w:val="en-US"/>
        </w:rPr>
        <w:t>year Workplan (see template below)</w:t>
      </w:r>
      <w:bookmarkEnd w:id="32"/>
    </w:p>
    <w:p w14:paraId="09FDADC6" w14:textId="77777777" w:rsidR="005808BA" w:rsidRPr="005808BA" w:rsidRDefault="005808BA" w:rsidP="005808BA">
      <w:pPr>
        <w:numPr>
          <w:ilvl w:val="0"/>
          <w:numId w:val="10"/>
        </w:numPr>
        <w:spacing w:after="0" w:line="240" w:lineRule="auto"/>
        <w:jc w:val="both"/>
        <w:rPr>
          <w:rFonts w:ascii="Calibri" w:eastAsia="SimSun" w:hAnsi="Calibri" w:cs="Times New Roman"/>
          <w:sz w:val="20"/>
          <w:szCs w:val="20"/>
          <w:lang w:val="en-US"/>
        </w:rPr>
      </w:pPr>
      <w:bookmarkStart w:id="33" w:name="_Toc407785537"/>
      <w:bookmarkStart w:id="34" w:name="Annex3"/>
      <w:r w:rsidRPr="005808BA">
        <w:rPr>
          <w:rFonts w:ascii="Calibri" w:eastAsia="SimSun" w:hAnsi="Calibri" w:cs="Times New Roman"/>
          <w:sz w:val="20"/>
          <w:szCs w:val="20"/>
          <w:lang w:val="en-US"/>
        </w:rPr>
        <w:t>Monitoring Plan (see template below)</w:t>
      </w:r>
    </w:p>
    <w:p w14:paraId="640045E4" w14:textId="77777777" w:rsidR="005808BA" w:rsidRPr="005808BA" w:rsidRDefault="005808BA" w:rsidP="005808BA">
      <w:pPr>
        <w:numPr>
          <w:ilvl w:val="0"/>
          <w:numId w:val="10"/>
        </w:numPr>
        <w:spacing w:after="0" w:line="240" w:lineRule="auto"/>
        <w:jc w:val="both"/>
        <w:rPr>
          <w:rFonts w:ascii="Calibri" w:eastAsia="SimSun" w:hAnsi="Calibri" w:cs="Times New Roman"/>
          <w:sz w:val="20"/>
          <w:szCs w:val="20"/>
          <w:lang w:val="en-US"/>
        </w:rPr>
      </w:pPr>
      <w:r w:rsidRPr="005808BA">
        <w:rPr>
          <w:rFonts w:ascii="Calibri" w:eastAsia="SimSun" w:hAnsi="Calibri" w:cs="Times New Roman"/>
          <w:sz w:val="20"/>
          <w:szCs w:val="20"/>
          <w:lang w:val="en-US"/>
        </w:rPr>
        <w:t>GEF Tracking Tool (s) at baseline (see separate document)</w:t>
      </w:r>
    </w:p>
    <w:bookmarkEnd w:id="33"/>
    <w:p w14:paraId="7986282C" w14:textId="77777777" w:rsidR="005808BA" w:rsidRPr="005808BA" w:rsidRDefault="005808BA" w:rsidP="005808BA">
      <w:pPr>
        <w:numPr>
          <w:ilvl w:val="0"/>
          <w:numId w:val="10"/>
        </w:numPr>
        <w:spacing w:after="0" w:line="240" w:lineRule="auto"/>
        <w:jc w:val="both"/>
        <w:rPr>
          <w:rFonts w:ascii="Calibri" w:eastAsia="SimSun" w:hAnsi="Calibri" w:cs="Times New Roman"/>
          <w:sz w:val="20"/>
          <w:szCs w:val="20"/>
          <w:lang w:val="en-US"/>
        </w:rPr>
      </w:pPr>
      <w:r w:rsidRPr="005808BA">
        <w:rPr>
          <w:rFonts w:ascii="Calibri" w:eastAsia="SimSun" w:hAnsi="Calibri" w:cs="Times New Roman"/>
          <w:sz w:val="20"/>
          <w:szCs w:val="20"/>
          <w:lang w:val="en-US"/>
        </w:rPr>
        <w:t>Terms of Reference for Project Board, Project Manager, Chief Technical Advisor and other positions as appropriate</w:t>
      </w:r>
    </w:p>
    <w:p w14:paraId="2AC012DA" w14:textId="77777777" w:rsidR="005808BA" w:rsidRPr="005808BA" w:rsidRDefault="005808BA" w:rsidP="005808BA">
      <w:pPr>
        <w:numPr>
          <w:ilvl w:val="0"/>
          <w:numId w:val="10"/>
        </w:numPr>
        <w:spacing w:after="0" w:line="240" w:lineRule="auto"/>
        <w:jc w:val="both"/>
        <w:rPr>
          <w:rFonts w:ascii="Calibri" w:eastAsia="SimSun" w:hAnsi="Calibri" w:cs="Times New Roman"/>
          <w:sz w:val="20"/>
          <w:szCs w:val="20"/>
          <w:lang w:val="en-US"/>
        </w:rPr>
      </w:pPr>
      <w:bookmarkStart w:id="35" w:name="_Toc407785532"/>
      <w:r w:rsidRPr="005808BA">
        <w:rPr>
          <w:rFonts w:ascii="Calibri" w:eastAsia="SimSun" w:hAnsi="Calibri" w:cs="Times New Roman"/>
          <w:sz w:val="20"/>
          <w:szCs w:val="20"/>
          <w:lang w:val="en-US"/>
        </w:rPr>
        <w:t xml:space="preserve">UNDP Social and Environmental and Social Screening Template </w:t>
      </w:r>
      <w:bookmarkStart w:id="36" w:name="_Toc407785538"/>
      <w:bookmarkEnd w:id="35"/>
      <w:r w:rsidRPr="005808BA">
        <w:rPr>
          <w:rFonts w:ascii="Calibri" w:eastAsia="SimSun" w:hAnsi="Calibri" w:cs="Times New Roman"/>
          <w:sz w:val="20"/>
          <w:szCs w:val="20"/>
          <w:lang w:val="en-US"/>
        </w:rPr>
        <w:t>(SESP)</w:t>
      </w:r>
    </w:p>
    <w:p w14:paraId="259FFA35" w14:textId="77777777" w:rsidR="005808BA" w:rsidRPr="005808BA" w:rsidRDefault="005808BA" w:rsidP="005808BA">
      <w:pPr>
        <w:numPr>
          <w:ilvl w:val="0"/>
          <w:numId w:val="10"/>
        </w:numPr>
        <w:spacing w:after="0" w:line="240" w:lineRule="auto"/>
        <w:jc w:val="both"/>
        <w:rPr>
          <w:rFonts w:ascii="Calibri" w:eastAsia="SimSun" w:hAnsi="Calibri" w:cs="Times New Roman"/>
          <w:sz w:val="20"/>
          <w:szCs w:val="20"/>
          <w:lang w:val="en-US"/>
        </w:rPr>
      </w:pPr>
      <w:r w:rsidRPr="005808BA">
        <w:rPr>
          <w:rFonts w:ascii="Calibri" w:eastAsia="SimSun" w:hAnsi="Calibri" w:cs="Times New Roman"/>
          <w:sz w:val="20"/>
          <w:szCs w:val="20"/>
          <w:lang w:val="en-US"/>
        </w:rPr>
        <w:t>Any additional agreements, such as cost sharing agreements, project cooperation agreements signed with NGOs (where the NGO is designated as the “executing entity”), letters of financial commitments, GEF OFP letter, GEF PIFs and other templates for all project types, LOA with the government in case DPCs are applied should be attached.</w:t>
      </w:r>
      <w:bookmarkEnd w:id="36"/>
      <w:r w:rsidRPr="005808BA">
        <w:rPr>
          <w:rFonts w:ascii="Calibri" w:eastAsia="SimSun" w:hAnsi="Calibri" w:cs="Times New Roman"/>
          <w:sz w:val="20"/>
          <w:szCs w:val="20"/>
          <w:lang w:val="en-US"/>
        </w:rPr>
        <w:t xml:space="preserve"> </w:t>
      </w:r>
      <w:bookmarkEnd w:id="34"/>
    </w:p>
    <w:sectPr w:rsidR="005808BA" w:rsidRPr="005808BA" w:rsidSect="0048471E">
      <w:pgSz w:w="16838" w:h="11906" w:orient="landscape"/>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1FE1" w14:textId="77777777" w:rsidR="00BA3F76" w:rsidRDefault="00BA3F76" w:rsidP="00C543D4">
      <w:pPr>
        <w:spacing w:after="0" w:line="240" w:lineRule="auto"/>
      </w:pPr>
      <w:r>
        <w:separator/>
      </w:r>
    </w:p>
  </w:endnote>
  <w:endnote w:type="continuationSeparator" w:id="0">
    <w:p w14:paraId="09FFB2B4" w14:textId="77777777" w:rsidR="00BA3F76" w:rsidRDefault="00BA3F76" w:rsidP="00C5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550332"/>
      <w:docPartObj>
        <w:docPartGallery w:val="Page Numbers (Bottom of Page)"/>
        <w:docPartUnique/>
      </w:docPartObj>
    </w:sdtPr>
    <w:sdtEndPr>
      <w:rPr>
        <w:noProof/>
      </w:rPr>
    </w:sdtEndPr>
    <w:sdtContent>
      <w:p w14:paraId="0A26E5F9" w14:textId="49FD4236" w:rsidR="007441D5" w:rsidRDefault="007441D5">
        <w:pPr>
          <w:pStyle w:val="Footer"/>
          <w:jc w:val="right"/>
        </w:pPr>
        <w:r>
          <w:fldChar w:fldCharType="begin"/>
        </w:r>
        <w:r>
          <w:instrText xml:space="preserve"> PAGE   \* MERGEFORMAT </w:instrText>
        </w:r>
        <w:r>
          <w:fldChar w:fldCharType="separate"/>
        </w:r>
        <w:r w:rsidR="009B1781">
          <w:rPr>
            <w:noProof/>
          </w:rPr>
          <w:t>27</w:t>
        </w:r>
        <w:r>
          <w:rPr>
            <w:noProof/>
          </w:rPr>
          <w:fldChar w:fldCharType="end"/>
        </w:r>
      </w:p>
    </w:sdtContent>
  </w:sdt>
  <w:p w14:paraId="1151267A" w14:textId="77777777" w:rsidR="007441D5" w:rsidRDefault="0074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509A" w14:textId="77777777" w:rsidR="007441D5" w:rsidRDefault="007441D5" w:rsidP="005808BA">
    <w:pPr>
      <w:pStyle w:val="Header"/>
    </w:pPr>
  </w:p>
  <w:sdt>
    <w:sdtPr>
      <w:id w:val="1400477546"/>
      <w:docPartObj>
        <w:docPartGallery w:val="Page Numbers (Bottom of Page)"/>
        <w:docPartUnique/>
      </w:docPartObj>
    </w:sdtPr>
    <w:sdtEndPr>
      <w:rPr>
        <w:color w:val="7F7F7F" w:themeColor="background1" w:themeShade="7F"/>
        <w:spacing w:val="60"/>
      </w:rPr>
    </w:sdtEndPr>
    <w:sdtContent>
      <w:p w14:paraId="1CC3097A" w14:textId="6C3ABFAD" w:rsidR="007441D5" w:rsidRDefault="007441D5" w:rsidP="005808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1781">
          <w:rPr>
            <w:noProof/>
          </w:rPr>
          <w:t>35</w:t>
        </w:r>
        <w:r>
          <w:rPr>
            <w:noProof/>
          </w:rPr>
          <w:fldChar w:fldCharType="end"/>
        </w:r>
        <w:r>
          <w:t xml:space="preserve"> | </w:t>
        </w:r>
        <w:r>
          <w:rPr>
            <w:color w:val="7F7F7F" w:themeColor="background1" w:themeShade="7F"/>
            <w:spacing w:val="60"/>
          </w:rPr>
          <w:t>Page</w:t>
        </w:r>
      </w:p>
    </w:sdtContent>
  </w:sdt>
  <w:p w14:paraId="014F4598" w14:textId="77777777" w:rsidR="007441D5" w:rsidRDefault="007441D5" w:rsidP="0058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2241" w14:textId="77777777" w:rsidR="00BA3F76" w:rsidRDefault="00BA3F76" w:rsidP="00C543D4">
      <w:pPr>
        <w:spacing w:after="0" w:line="240" w:lineRule="auto"/>
      </w:pPr>
      <w:r>
        <w:separator/>
      </w:r>
    </w:p>
  </w:footnote>
  <w:footnote w:type="continuationSeparator" w:id="0">
    <w:p w14:paraId="0C16E41B" w14:textId="77777777" w:rsidR="00BA3F76" w:rsidRDefault="00BA3F76" w:rsidP="00C543D4">
      <w:pPr>
        <w:spacing w:after="0" w:line="240" w:lineRule="auto"/>
      </w:pPr>
      <w:r>
        <w:continuationSeparator/>
      </w:r>
    </w:p>
  </w:footnote>
  <w:footnote w:id="1">
    <w:p w14:paraId="249C9A09" w14:textId="12104ABF" w:rsidR="007441D5" w:rsidRPr="00B84901" w:rsidRDefault="007441D5">
      <w:pPr>
        <w:pStyle w:val="FootnoteText"/>
        <w:rPr>
          <w:sz w:val="18"/>
          <w:lang w:val="en-US"/>
        </w:rPr>
      </w:pPr>
      <w:r>
        <w:rPr>
          <w:rStyle w:val="FootnoteReference"/>
        </w:rPr>
        <w:footnoteRef/>
      </w:r>
      <w:r w:rsidRPr="00B84901">
        <w:rPr>
          <w:lang w:val="en-US"/>
        </w:rPr>
        <w:t xml:space="preserve"> </w:t>
      </w:r>
      <w:r w:rsidRPr="00B84901">
        <w:rPr>
          <w:sz w:val="18"/>
          <w:lang w:val="en-US"/>
        </w:rPr>
        <w:t>Closing of the operation represented a significant economic blow to the country, in terms of jobs and revenues.</w:t>
      </w:r>
    </w:p>
  </w:footnote>
  <w:footnote w:id="2">
    <w:p w14:paraId="53A95697" w14:textId="65CC597A" w:rsidR="007441D5" w:rsidRDefault="007441D5">
      <w:pPr>
        <w:pStyle w:val="FootnoteText"/>
      </w:pPr>
      <w:r>
        <w:rPr>
          <w:rStyle w:val="FootnoteReference"/>
        </w:rPr>
        <w:footnoteRef/>
      </w:r>
      <w:r>
        <w:t xml:space="preserve"> MPF assessment 2016, p. 35</w:t>
      </w:r>
    </w:p>
  </w:footnote>
  <w:footnote w:id="3">
    <w:p w14:paraId="5DAB6F8E" w14:textId="43AD957E" w:rsidR="007441D5" w:rsidRPr="00B809C9" w:rsidRDefault="007441D5">
      <w:pPr>
        <w:pStyle w:val="FootnoteText"/>
      </w:pPr>
      <w:r>
        <w:rPr>
          <w:rStyle w:val="FootnoteReference"/>
        </w:rPr>
        <w:footnoteRef/>
      </w:r>
      <w:r w:rsidRPr="00B809C9">
        <w:t xml:space="preserve"> Besluit Negatieve Lijst 2003; S.B. 2003 no. 74</w:t>
      </w:r>
    </w:p>
  </w:footnote>
  <w:footnote w:id="4">
    <w:p w14:paraId="2308D7A1" w14:textId="49159BA3" w:rsidR="007441D5" w:rsidRPr="00B809C9" w:rsidRDefault="007441D5">
      <w:pPr>
        <w:pStyle w:val="FootnoteText"/>
      </w:pPr>
      <w:r>
        <w:rPr>
          <w:rStyle w:val="FootnoteReference"/>
        </w:rPr>
        <w:footnoteRef/>
      </w:r>
      <w:r w:rsidRPr="00B809C9">
        <w:t xml:space="preserve"> Wet Goederenverkeer; S.B. 2003 no. 58</w:t>
      </w:r>
    </w:p>
  </w:footnote>
  <w:footnote w:id="5">
    <w:p w14:paraId="0551C986" w14:textId="2CBF6030" w:rsidR="007441D5" w:rsidRPr="00433666" w:rsidRDefault="007441D5">
      <w:pPr>
        <w:pStyle w:val="FootnoteText"/>
        <w:rPr>
          <w:sz w:val="16"/>
          <w:lang w:val="en-US"/>
        </w:rPr>
      </w:pPr>
      <w:r>
        <w:rPr>
          <w:rStyle w:val="FootnoteReference"/>
        </w:rPr>
        <w:footnoteRef/>
      </w:r>
      <w:r w:rsidRPr="00433666">
        <w:rPr>
          <w:lang w:val="en-US"/>
        </w:rPr>
        <w:t xml:space="preserve"> </w:t>
      </w:r>
      <w:r w:rsidRPr="00433666">
        <w:rPr>
          <w:sz w:val="16"/>
          <w:lang w:val="en-US"/>
        </w:rPr>
        <w:t>Baseline, mid-term and end of project levels must be expressed in the same neutral unit of analysis as the corresponding indicator.</w:t>
      </w:r>
    </w:p>
    <w:p w14:paraId="44D9DE8A" w14:textId="77777777" w:rsidR="007441D5" w:rsidRPr="00433666" w:rsidRDefault="007441D5">
      <w:pPr>
        <w:pStyle w:val="FootnoteText"/>
        <w:rPr>
          <w:lang w:val="en-US"/>
        </w:rPr>
      </w:pPr>
    </w:p>
  </w:footnote>
  <w:footnote w:id="6">
    <w:p w14:paraId="7D160997" w14:textId="6A2B0C21" w:rsidR="007441D5" w:rsidRPr="00433666" w:rsidRDefault="007441D5">
      <w:pPr>
        <w:pStyle w:val="FootnoteText"/>
        <w:rPr>
          <w:sz w:val="12"/>
          <w:lang w:val="en-US"/>
        </w:rPr>
      </w:pPr>
      <w:r>
        <w:rPr>
          <w:rStyle w:val="FootnoteReference"/>
        </w:rPr>
        <w:footnoteRef/>
      </w:r>
      <w:r w:rsidRPr="00433666">
        <w:rPr>
          <w:lang w:val="en-US"/>
        </w:rPr>
        <w:t xml:space="preserve"> </w:t>
      </w:r>
      <w:r w:rsidRPr="00433666">
        <w:rPr>
          <w:sz w:val="16"/>
          <w:lang w:val="en-US"/>
        </w:rPr>
        <w:t xml:space="preserve">Risks must be outlined in the Feasibility section of this project document.  </w:t>
      </w:r>
    </w:p>
  </w:footnote>
  <w:footnote w:id="7">
    <w:p w14:paraId="1F9EC526" w14:textId="77777777" w:rsidR="007441D5" w:rsidRPr="00433666" w:rsidRDefault="007441D5">
      <w:pPr>
        <w:rPr>
          <w:lang w:val="en-US"/>
        </w:rPr>
      </w:pPr>
    </w:p>
    <w:p w14:paraId="28FE1514" w14:textId="77777777" w:rsidR="007441D5" w:rsidRPr="00433666" w:rsidRDefault="007441D5" w:rsidP="007B1223">
      <w:pPr>
        <w:pStyle w:val="FootnoteText"/>
        <w:rPr>
          <w:lang w:val="en-US"/>
        </w:rPr>
      </w:pPr>
    </w:p>
  </w:footnote>
  <w:footnote w:id="8">
    <w:p w14:paraId="367B64AD" w14:textId="77777777" w:rsidR="007441D5" w:rsidRPr="007B1223" w:rsidRDefault="007441D5" w:rsidP="007B1223">
      <w:pPr>
        <w:pStyle w:val="FootnoteText"/>
        <w:rPr>
          <w:rFonts w:ascii="Calibri" w:hAnsi="Calibri" w:cs="Calibri"/>
          <w:sz w:val="18"/>
          <w:szCs w:val="18"/>
          <w:lang w:val="en-US"/>
        </w:rPr>
      </w:pPr>
      <w:r w:rsidRPr="0046177D">
        <w:rPr>
          <w:rStyle w:val="FootnoteReference"/>
          <w:rFonts w:ascii="Calibri" w:hAnsi="Calibri" w:cs="Calibri"/>
          <w:szCs w:val="18"/>
        </w:rPr>
        <w:footnoteRef/>
      </w:r>
      <w:r w:rsidRPr="007B1223">
        <w:rPr>
          <w:rFonts w:ascii="Calibri" w:hAnsi="Calibri" w:cs="Calibri"/>
          <w:sz w:val="18"/>
          <w:szCs w:val="18"/>
          <w:lang w:val="en-US"/>
        </w:rPr>
        <w:t xml:space="preserve"> Excluding project team staff time and UNDP staff time and travel expenses.</w:t>
      </w:r>
    </w:p>
  </w:footnote>
  <w:footnote w:id="9">
    <w:p w14:paraId="36D21478" w14:textId="77777777" w:rsidR="007441D5" w:rsidRPr="007B1223" w:rsidRDefault="007441D5" w:rsidP="007B1223">
      <w:pPr>
        <w:pStyle w:val="FootnoteText"/>
        <w:rPr>
          <w:rFonts w:ascii="Calibri" w:hAnsi="Calibri" w:cs="Calibri"/>
          <w:sz w:val="18"/>
          <w:szCs w:val="18"/>
          <w:lang w:val="en-US"/>
        </w:rPr>
      </w:pPr>
      <w:r w:rsidRPr="00DD767C">
        <w:rPr>
          <w:rStyle w:val="FootnoteReference"/>
          <w:rFonts w:ascii="Calibri" w:hAnsi="Calibri" w:cs="Calibri"/>
          <w:szCs w:val="18"/>
        </w:rPr>
        <w:footnoteRef/>
      </w:r>
      <w:r w:rsidRPr="007B1223">
        <w:rPr>
          <w:rFonts w:ascii="Calibri" w:hAnsi="Calibri" w:cs="Calibri"/>
          <w:sz w:val="18"/>
          <w:szCs w:val="18"/>
          <w:lang w:val="en-US"/>
        </w:rPr>
        <w:t xml:space="preserve"> The costs of UNDP Country Office and UNDP-GEF’s participation and time are charged to the GEF Agency Fee.</w:t>
      </w:r>
    </w:p>
  </w:footnote>
  <w:footnote w:id="10">
    <w:p w14:paraId="34680E58" w14:textId="77777777" w:rsidR="007441D5" w:rsidRPr="005808BA" w:rsidRDefault="007441D5" w:rsidP="005808BA">
      <w:pPr>
        <w:pStyle w:val="FootnoteText"/>
        <w:rPr>
          <w:rFonts w:ascii="Arial" w:hAnsi="Arial" w:cs="Arial"/>
          <w:sz w:val="18"/>
          <w:szCs w:val="18"/>
          <w:lang w:val="en-US"/>
        </w:rPr>
      </w:pPr>
      <w:r w:rsidRPr="00CD65D4">
        <w:rPr>
          <w:rStyle w:val="FootnoteReference"/>
          <w:rFonts w:cs="Arial"/>
          <w:szCs w:val="18"/>
        </w:rPr>
        <w:footnoteRef/>
      </w:r>
      <w:r w:rsidRPr="005808BA">
        <w:rPr>
          <w:rFonts w:ascii="Arial" w:hAnsi="Arial" w:cs="Arial"/>
          <w:sz w:val="18"/>
          <w:szCs w:val="18"/>
          <w:lang w:val="en-US"/>
        </w:rPr>
        <w:t xml:space="preserve"> Use bracketed text only when IP is an NGO/IGO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BAA0" w14:textId="77777777" w:rsidR="007441D5" w:rsidRPr="00424365" w:rsidRDefault="007441D5" w:rsidP="005808BA">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421"/>
    <w:multiLevelType w:val="hybridMultilevel"/>
    <w:tmpl w:val="88D0295A"/>
    <w:lvl w:ilvl="0" w:tplc="BE7E968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3D68C9"/>
    <w:multiLevelType w:val="multilevel"/>
    <w:tmpl w:val="6AD613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E9431E"/>
    <w:multiLevelType w:val="hybridMultilevel"/>
    <w:tmpl w:val="4C9C56A4"/>
    <w:lvl w:ilvl="0" w:tplc="A8E4CD32">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194DA0"/>
    <w:multiLevelType w:val="hybridMultilevel"/>
    <w:tmpl w:val="82DCA480"/>
    <w:lvl w:ilvl="0" w:tplc="4D9CC4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66233"/>
    <w:multiLevelType w:val="hybridMultilevel"/>
    <w:tmpl w:val="0520E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1277A5"/>
    <w:multiLevelType w:val="hybridMultilevel"/>
    <w:tmpl w:val="A976AB9A"/>
    <w:lvl w:ilvl="0" w:tplc="9DB00120">
      <w:start w:val="1"/>
      <w:numFmt w:val="upperRoman"/>
      <w:lvlText w:val="%1."/>
      <w:lvlJc w:val="left"/>
      <w:pPr>
        <w:tabs>
          <w:tab w:val="num" w:pos="810"/>
        </w:tabs>
        <w:ind w:left="81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FD795C"/>
    <w:multiLevelType w:val="hybridMultilevel"/>
    <w:tmpl w:val="D4848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F33B33"/>
    <w:multiLevelType w:val="hybridMultilevel"/>
    <w:tmpl w:val="9AE0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761F9"/>
    <w:multiLevelType w:val="multilevel"/>
    <w:tmpl w:val="62525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077F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F04D0"/>
    <w:multiLevelType w:val="multilevel"/>
    <w:tmpl w:val="F7704B60"/>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0A5B57"/>
    <w:multiLevelType w:val="hybridMultilevel"/>
    <w:tmpl w:val="9F8C4BC0"/>
    <w:lvl w:ilvl="0" w:tplc="A8E4CD3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12CA1"/>
    <w:multiLevelType w:val="multilevel"/>
    <w:tmpl w:val="8A6601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C444F"/>
    <w:multiLevelType w:val="hybridMultilevel"/>
    <w:tmpl w:val="4EF6A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72344"/>
    <w:multiLevelType w:val="hybridMultilevel"/>
    <w:tmpl w:val="339EBA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2AD4A5C"/>
    <w:multiLevelType w:val="hybridMultilevel"/>
    <w:tmpl w:val="CDCCA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A3C7E"/>
    <w:multiLevelType w:val="hybridMultilevel"/>
    <w:tmpl w:val="E4148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1F4BE9"/>
    <w:multiLevelType w:val="multilevel"/>
    <w:tmpl w:val="B4DE492E"/>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C2F0B72"/>
    <w:multiLevelType w:val="hybridMultilevel"/>
    <w:tmpl w:val="A3882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6941D5"/>
    <w:multiLevelType w:val="hybridMultilevel"/>
    <w:tmpl w:val="6F36E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0B7EF0"/>
    <w:multiLevelType w:val="hybridMultilevel"/>
    <w:tmpl w:val="D504B194"/>
    <w:lvl w:ilvl="0" w:tplc="4D9CC4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485FFA"/>
    <w:multiLevelType w:val="hybridMultilevel"/>
    <w:tmpl w:val="7CD0D25A"/>
    <w:lvl w:ilvl="0" w:tplc="A8E4CD32">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287924"/>
    <w:multiLevelType w:val="multilevel"/>
    <w:tmpl w:val="621A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557BB"/>
    <w:multiLevelType w:val="hybridMultilevel"/>
    <w:tmpl w:val="03ECC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283691"/>
    <w:multiLevelType w:val="hybridMultilevel"/>
    <w:tmpl w:val="4AF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B242C"/>
    <w:multiLevelType w:val="hybridMultilevel"/>
    <w:tmpl w:val="D2B2A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B26711"/>
    <w:multiLevelType w:val="multilevel"/>
    <w:tmpl w:val="9974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AA182C"/>
    <w:multiLevelType w:val="multilevel"/>
    <w:tmpl w:val="CE866F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0472C4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A6DCE"/>
    <w:multiLevelType w:val="hybridMultilevel"/>
    <w:tmpl w:val="DE18E240"/>
    <w:lvl w:ilvl="0" w:tplc="A8E4CD32">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10C347B"/>
    <w:multiLevelType w:val="hybridMultilevel"/>
    <w:tmpl w:val="123CC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7"/>
  </w:num>
  <w:num w:numId="3">
    <w:abstractNumId w:val="21"/>
  </w:num>
  <w:num w:numId="4">
    <w:abstractNumId w:val="20"/>
  </w:num>
  <w:num w:numId="5">
    <w:abstractNumId w:val="0"/>
  </w:num>
  <w:num w:numId="6">
    <w:abstractNumId w:val="6"/>
  </w:num>
  <w:num w:numId="7">
    <w:abstractNumId w:val="6"/>
    <w:lvlOverride w:ilvl="0">
      <w:startOverride w:val="10"/>
    </w:lvlOverride>
  </w:num>
  <w:num w:numId="8">
    <w:abstractNumId w:val="15"/>
  </w:num>
  <w:num w:numId="9">
    <w:abstractNumId w:val="25"/>
  </w:num>
  <w:num w:numId="10">
    <w:abstractNumId w:val="8"/>
  </w:num>
  <w:num w:numId="11">
    <w:abstractNumId w:val="29"/>
  </w:num>
  <w:num w:numId="12">
    <w:abstractNumId w:val="24"/>
  </w:num>
  <w:num w:numId="13">
    <w:abstractNumId w:val="11"/>
  </w:num>
  <w:num w:numId="14">
    <w:abstractNumId w:val="16"/>
  </w:num>
  <w:num w:numId="15">
    <w:abstractNumId w:val="26"/>
  </w:num>
  <w:num w:numId="16">
    <w:abstractNumId w:val="27"/>
  </w:num>
  <w:num w:numId="17">
    <w:abstractNumId w:val="28"/>
  </w:num>
  <w:num w:numId="18">
    <w:abstractNumId w:val="22"/>
  </w:num>
  <w:num w:numId="19">
    <w:abstractNumId w:val="4"/>
  </w:num>
  <w:num w:numId="20">
    <w:abstractNumId w:val="3"/>
  </w:num>
  <w:num w:numId="21">
    <w:abstractNumId w:val="10"/>
  </w:num>
  <w:num w:numId="22">
    <w:abstractNumId w:val="31"/>
  </w:num>
  <w:num w:numId="23">
    <w:abstractNumId w:val="5"/>
  </w:num>
  <w:num w:numId="24">
    <w:abstractNumId w:val="9"/>
  </w:num>
  <w:num w:numId="25">
    <w:abstractNumId w:val="18"/>
  </w:num>
  <w:num w:numId="26">
    <w:abstractNumId w:val="13"/>
  </w:num>
  <w:num w:numId="27">
    <w:abstractNumId w:val="30"/>
  </w:num>
  <w:num w:numId="28">
    <w:abstractNumId w:val="1"/>
  </w:num>
  <w:num w:numId="29">
    <w:abstractNumId w:val="19"/>
  </w:num>
  <w:num w:numId="30">
    <w:abstractNumId w:val="12"/>
  </w:num>
  <w:num w:numId="31">
    <w:abstractNumId w:val="2"/>
  </w:num>
  <w:num w:numId="32">
    <w:abstractNumId w:val="23"/>
  </w:num>
  <w:num w:numId="33">
    <w:abstractNumId w:val="32"/>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E"/>
    <w:rsid w:val="00004D13"/>
    <w:rsid w:val="00010D5D"/>
    <w:rsid w:val="00011B5C"/>
    <w:rsid w:val="0001750B"/>
    <w:rsid w:val="00025BEA"/>
    <w:rsid w:val="0002769E"/>
    <w:rsid w:val="00031D81"/>
    <w:rsid w:val="000322F4"/>
    <w:rsid w:val="000347A4"/>
    <w:rsid w:val="00034D00"/>
    <w:rsid w:val="00036E06"/>
    <w:rsid w:val="0004393A"/>
    <w:rsid w:val="00062469"/>
    <w:rsid w:val="00062DB5"/>
    <w:rsid w:val="00071E1C"/>
    <w:rsid w:val="00074F38"/>
    <w:rsid w:val="00077856"/>
    <w:rsid w:val="00077D6E"/>
    <w:rsid w:val="00083480"/>
    <w:rsid w:val="00084628"/>
    <w:rsid w:val="00085E6A"/>
    <w:rsid w:val="000A1946"/>
    <w:rsid w:val="000A22FC"/>
    <w:rsid w:val="000B70A5"/>
    <w:rsid w:val="000C51C0"/>
    <w:rsid w:val="000C5D85"/>
    <w:rsid w:val="000C6DE1"/>
    <w:rsid w:val="000D12D8"/>
    <w:rsid w:val="000E6C5F"/>
    <w:rsid w:val="000F1A91"/>
    <w:rsid w:val="00103F7A"/>
    <w:rsid w:val="00105DF6"/>
    <w:rsid w:val="00105FEE"/>
    <w:rsid w:val="00112507"/>
    <w:rsid w:val="00112FE4"/>
    <w:rsid w:val="0013342F"/>
    <w:rsid w:val="00141988"/>
    <w:rsid w:val="0014764F"/>
    <w:rsid w:val="00152A1A"/>
    <w:rsid w:val="001540F2"/>
    <w:rsid w:val="0016710F"/>
    <w:rsid w:val="001768FB"/>
    <w:rsid w:val="00181EC4"/>
    <w:rsid w:val="0018388F"/>
    <w:rsid w:val="00185D0C"/>
    <w:rsid w:val="00186244"/>
    <w:rsid w:val="00195ACA"/>
    <w:rsid w:val="001A6FAC"/>
    <w:rsid w:val="001B5C22"/>
    <w:rsid w:val="001B6357"/>
    <w:rsid w:val="001C4C6E"/>
    <w:rsid w:val="001F57B6"/>
    <w:rsid w:val="002052D8"/>
    <w:rsid w:val="00211D34"/>
    <w:rsid w:val="00217C4A"/>
    <w:rsid w:val="00217F27"/>
    <w:rsid w:val="00223409"/>
    <w:rsid w:val="00231F84"/>
    <w:rsid w:val="0024260C"/>
    <w:rsid w:val="002563DD"/>
    <w:rsid w:val="0026002B"/>
    <w:rsid w:val="002601A1"/>
    <w:rsid w:val="00260D87"/>
    <w:rsid w:val="00261028"/>
    <w:rsid w:val="00270CEA"/>
    <w:rsid w:val="002745A0"/>
    <w:rsid w:val="00277A24"/>
    <w:rsid w:val="00287098"/>
    <w:rsid w:val="002A14C9"/>
    <w:rsid w:val="002B11CA"/>
    <w:rsid w:val="002B3FE9"/>
    <w:rsid w:val="002B6B7D"/>
    <w:rsid w:val="002B7B22"/>
    <w:rsid w:val="002D5C56"/>
    <w:rsid w:val="002F3E64"/>
    <w:rsid w:val="0030743D"/>
    <w:rsid w:val="00311C2B"/>
    <w:rsid w:val="003222D4"/>
    <w:rsid w:val="0032343C"/>
    <w:rsid w:val="00327F4A"/>
    <w:rsid w:val="00332FAE"/>
    <w:rsid w:val="00341ED8"/>
    <w:rsid w:val="00352803"/>
    <w:rsid w:val="00364C06"/>
    <w:rsid w:val="003816D4"/>
    <w:rsid w:val="00394410"/>
    <w:rsid w:val="003B1FF3"/>
    <w:rsid w:val="003B6F2E"/>
    <w:rsid w:val="003D0A1E"/>
    <w:rsid w:val="003D4DFD"/>
    <w:rsid w:val="003D6A1A"/>
    <w:rsid w:val="003D7A61"/>
    <w:rsid w:val="003E2587"/>
    <w:rsid w:val="003F0405"/>
    <w:rsid w:val="00433666"/>
    <w:rsid w:val="00442FD3"/>
    <w:rsid w:val="0046285D"/>
    <w:rsid w:val="004636EF"/>
    <w:rsid w:val="00466B7C"/>
    <w:rsid w:val="00475252"/>
    <w:rsid w:val="00477963"/>
    <w:rsid w:val="00477CED"/>
    <w:rsid w:val="0048471E"/>
    <w:rsid w:val="00487C00"/>
    <w:rsid w:val="004925B1"/>
    <w:rsid w:val="00496F5F"/>
    <w:rsid w:val="004A17BA"/>
    <w:rsid w:val="004A46CA"/>
    <w:rsid w:val="004A503D"/>
    <w:rsid w:val="004A66E1"/>
    <w:rsid w:val="004A6D79"/>
    <w:rsid w:val="004B7C46"/>
    <w:rsid w:val="004C5F17"/>
    <w:rsid w:val="004C6E34"/>
    <w:rsid w:val="004D40A5"/>
    <w:rsid w:val="004D5C7B"/>
    <w:rsid w:val="004D76A2"/>
    <w:rsid w:val="004E23B8"/>
    <w:rsid w:val="004E2692"/>
    <w:rsid w:val="004F0539"/>
    <w:rsid w:val="004F2890"/>
    <w:rsid w:val="005104D0"/>
    <w:rsid w:val="00527DA2"/>
    <w:rsid w:val="0053159A"/>
    <w:rsid w:val="00532881"/>
    <w:rsid w:val="0054766D"/>
    <w:rsid w:val="00565095"/>
    <w:rsid w:val="005714CB"/>
    <w:rsid w:val="005726C4"/>
    <w:rsid w:val="005808BA"/>
    <w:rsid w:val="00591221"/>
    <w:rsid w:val="005A46C1"/>
    <w:rsid w:val="005B3162"/>
    <w:rsid w:val="005C2834"/>
    <w:rsid w:val="005C2AFA"/>
    <w:rsid w:val="005C2F40"/>
    <w:rsid w:val="005D4623"/>
    <w:rsid w:val="005E0972"/>
    <w:rsid w:val="005F4CC9"/>
    <w:rsid w:val="005F6FAD"/>
    <w:rsid w:val="006035E5"/>
    <w:rsid w:val="0061306C"/>
    <w:rsid w:val="006161D5"/>
    <w:rsid w:val="00616AB4"/>
    <w:rsid w:val="00616AD8"/>
    <w:rsid w:val="006451BA"/>
    <w:rsid w:val="0064524B"/>
    <w:rsid w:val="00645B1C"/>
    <w:rsid w:val="00650A47"/>
    <w:rsid w:val="00654EAE"/>
    <w:rsid w:val="0066562F"/>
    <w:rsid w:val="00673695"/>
    <w:rsid w:val="00675D91"/>
    <w:rsid w:val="00675DDE"/>
    <w:rsid w:val="006836C0"/>
    <w:rsid w:val="00695CBB"/>
    <w:rsid w:val="006A745B"/>
    <w:rsid w:val="006B1ADE"/>
    <w:rsid w:val="006B508F"/>
    <w:rsid w:val="006C602B"/>
    <w:rsid w:val="006C689B"/>
    <w:rsid w:val="006D2727"/>
    <w:rsid w:val="006D3C9B"/>
    <w:rsid w:val="006D4D8B"/>
    <w:rsid w:val="006F0C70"/>
    <w:rsid w:val="006F5124"/>
    <w:rsid w:val="007016E7"/>
    <w:rsid w:val="00707D7F"/>
    <w:rsid w:val="00715D77"/>
    <w:rsid w:val="00721656"/>
    <w:rsid w:val="00727302"/>
    <w:rsid w:val="0073324A"/>
    <w:rsid w:val="00743274"/>
    <w:rsid w:val="00743EC9"/>
    <w:rsid w:val="007441D5"/>
    <w:rsid w:val="00746598"/>
    <w:rsid w:val="007476F3"/>
    <w:rsid w:val="00754D2D"/>
    <w:rsid w:val="0076760D"/>
    <w:rsid w:val="0076768E"/>
    <w:rsid w:val="00787688"/>
    <w:rsid w:val="007907B9"/>
    <w:rsid w:val="007A48E6"/>
    <w:rsid w:val="007A5E2B"/>
    <w:rsid w:val="007B1223"/>
    <w:rsid w:val="007E5561"/>
    <w:rsid w:val="007F2F15"/>
    <w:rsid w:val="007F54AA"/>
    <w:rsid w:val="008237F2"/>
    <w:rsid w:val="008348D7"/>
    <w:rsid w:val="00834915"/>
    <w:rsid w:val="00860F0F"/>
    <w:rsid w:val="00862680"/>
    <w:rsid w:val="008711FD"/>
    <w:rsid w:val="008732AB"/>
    <w:rsid w:val="008764FA"/>
    <w:rsid w:val="0087673B"/>
    <w:rsid w:val="008A3D02"/>
    <w:rsid w:val="008B079A"/>
    <w:rsid w:val="008B1EED"/>
    <w:rsid w:val="008E0533"/>
    <w:rsid w:val="008E10ED"/>
    <w:rsid w:val="008E175B"/>
    <w:rsid w:val="008E481F"/>
    <w:rsid w:val="008F4F7A"/>
    <w:rsid w:val="00943429"/>
    <w:rsid w:val="00943919"/>
    <w:rsid w:val="00960D29"/>
    <w:rsid w:val="00972E69"/>
    <w:rsid w:val="009855B5"/>
    <w:rsid w:val="009A0D0C"/>
    <w:rsid w:val="009B0397"/>
    <w:rsid w:val="009B0E99"/>
    <w:rsid w:val="009B1781"/>
    <w:rsid w:val="009B361D"/>
    <w:rsid w:val="009C1EF8"/>
    <w:rsid w:val="009C2C51"/>
    <w:rsid w:val="009D1B21"/>
    <w:rsid w:val="009E3C54"/>
    <w:rsid w:val="009F0AF5"/>
    <w:rsid w:val="009F35EA"/>
    <w:rsid w:val="00A03CE2"/>
    <w:rsid w:val="00A06602"/>
    <w:rsid w:val="00A17450"/>
    <w:rsid w:val="00A35EEA"/>
    <w:rsid w:val="00A65C68"/>
    <w:rsid w:val="00A84125"/>
    <w:rsid w:val="00A95558"/>
    <w:rsid w:val="00A969F4"/>
    <w:rsid w:val="00A97766"/>
    <w:rsid w:val="00AA0BFC"/>
    <w:rsid w:val="00AA15F8"/>
    <w:rsid w:val="00AB4363"/>
    <w:rsid w:val="00AB54A8"/>
    <w:rsid w:val="00AB586E"/>
    <w:rsid w:val="00AC19D6"/>
    <w:rsid w:val="00AD5CE7"/>
    <w:rsid w:val="00AE1D49"/>
    <w:rsid w:val="00AF3FE8"/>
    <w:rsid w:val="00B02FC8"/>
    <w:rsid w:val="00B03A93"/>
    <w:rsid w:val="00B278F5"/>
    <w:rsid w:val="00B409FE"/>
    <w:rsid w:val="00B512E6"/>
    <w:rsid w:val="00B54884"/>
    <w:rsid w:val="00B57487"/>
    <w:rsid w:val="00B70666"/>
    <w:rsid w:val="00B71E9B"/>
    <w:rsid w:val="00B809C9"/>
    <w:rsid w:val="00B84901"/>
    <w:rsid w:val="00B84ED1"/>
    <w:rsid w:val="00B859DF"/>
    <w:rsid w:val="00B932D8"/>
    <w:rsid w:val="00BA3F76"/>
    <w:rsid w:val="00BB1D3E"/>
    <w:rsid w:val="00BB4B68"/>
    <w:rsid w:val="00BB7A84"/>
    <w:rsid w:val="00BC1DB3"/>
    <w:rsid w:val="00BC58CF"/>
    <w:rsid w:val="00BD09E5"/>
    <w:rsid w:val="00BE2F74"/>
    <w:rsid w:val="00BE52F4"/>
    <w:rsid w:val="00BF6BBB"/>
    <w:rsid w:val="00C143C7"/>
    <w:rsid w:val="00C26FB0"/>
    <w:rsid w:val="00C338D5"/>
    <w:rsid w:val="00C34520"/>
    <w:rsid w:val="00C41BB3"/>
    <w:rsid w:val="00C41FE7"/>
    <w:rsid w:val="00C440DE"/>
    <w:rsid w:val="00C53737"/>
    <w:rsid w:val="00C543D4"/>
    <w:rsid w:val="00C63FE0"/>
    <w:rsid w:val="00C64DC5"/>
    <w:rsid w:val="00C66DFA"/>
    <w:rsid w:val="00C71C0C"/>
    <w:rsid w:val="00C826FB"/>
    <w:rsid w:val="00C82A14"/>
    <w:rsid w:val="00CA06B3"/>
    <w:rsid w:val="00CA49D0"/>
    <w:rsid w:val="00CB072E"/>
    <w:rsid w:val="00CC3139"/>
    <w:rsid w:val="00CD401D"/>
    <w:rsid w:val="00CD7242"/>
    <w:rsid w:val="00CE1305"/>
    <w:rsid w:val="00CF20D9"/>
    <w:rsid w:val="00CF4664"/>
    <w:rsid w:val="00D23E61"/>
    <w:rsid w:val="00D5066D"/>
    <w:rsid w:val="00D52EB9"/>
    <w:rsid w:val="00D54CB8"/>
    <w:rsid w:val="00D70677"/>
    <w:rsid w:val="00D845BA"/>
    <w:rsid w:val="00D86992"/>
    <w:rsid w:val="00D93BCA"/>
    <w:rsid w:val="00D9650A"/>
    <w:rsid w:val="00DA262B"/>
    <w:rsid w:val="00DA2956"/>
    <w:rsid w:val="00DA305E"/>
    <w:rsid w:val="00DA6BC2"/>
    <w:rsid w:val="00DB6CFB"/>
    <w:rsid w:val="00DB7D25"/>
    <w:rsid w:val="00DE3DAB"/>
    <w:rsid w:val="00DF3039"/>
    <w:rsid w:val="00DF39CD"/>
    <w:rsid w:val="00DF39DD"/>
    <w:rsid w:val="00DF695D"/>
    <w:rsid w:val="00E05C03"/>
    <w:rsid w:val="00E12BA4"/>
    <w:rsid w:val="00E212BE"/>
    <w:rsid w:val="00E2231E"/>
    <w:rsid w:val="00E25BF7"/>
    <w:rsid w:val="00E32DA9"/>
    <w:rsid w:val="00E446D0"/>
    <w:rsid w:val="00E51413"/>
    <w:rsid w:val="00E5729E"/>
    <w:rsid w:val="00E67D70"/>
    <w:rsid w:val="00E75539"/>
    <w:rsid w:val="00E93611"/>
    <w:rsid w:val="00E94567"/>
    <w:rsid w:val="00EA420E"/>
    <w:rsid w:val="00EA58B3"/>
    <w:rsid w:val="00EA7B68"/>
    <w:rsid w:val="00EB4C82"/>
    <w:rsid w:val="00ED7B68"/>
    <w:rsid w:val="00EE162B"/>
    <w:rsid w:val="00EE3E21"/>
    <w:rsid w:val="00EE60E6"/>
    <w:rsid w:val="00EF6A78"/>
    <w:rsid w:val="00F005AC"/>
    <w:rsid w:val="00F041A0"/>
    <w:rsid w:val="00F066C8"/>
    <w:rsid w:val="00F14AAC"/>
    <w:rsid w:val="00F14D5C"/>
    <w:rsid w:val="00F236E2"/>
    <w:rsid w:val="00F26E74"/>
    <w:rsid w:val="00F33B12"/>
    <w:rsid w:val="00F42778"/>
    <w:rsid w:val="00F4470E"/>
    <w:rsid w:val="00F46902"/>
    <w:rsid w:val="00F82F21"/>
    <w:rsid w:val="00F838F5"/>
    <w:rsid w:val="00F86C12"/>
    <w:rsid w:val="00F924B1"/>
    <w:rsid w:val="00FA486B"/>
    <w:rsid w:val="00FA542D"/>
    <w:rsid w:val="00FA7F6B"/>
    <w:rsid w:val="00FB2F32"/>
    <w:rsid w:val="00FB7202"/>
    <w:rsid w:val="00FE0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A49D"/>
  <w15:chartTrackingRefBased/>
  <w15:docId w15:val="{68A638CB-74CD-471F-898D-24028F32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20E"/>
  </w:style>
  <w:style w:type="paragraph" w:styleId="Heading1">
    <w:name w:val="heading 1"/>
    <w:basedOn w:val="Normal"/>
    <w:next w:val="Normal"/>
    <w:link w:val="Heading1Char"/>
    <w:qFormat/>
    <w:rsid w:val="00217C4A"/>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9DD"/>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4B68"/>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4B68"/>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4B68"/>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B4B68"/>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B4B68"/>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4B68"/>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B68"/>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3D4"/>
  </w:style>
  <w:style w:type="paragraph" w:styleId="Footer">
    <w:name w:val="footer"/>
    <w:basedOn w:val="Normal"/>
    <w:link w:val="FooterChar"/>
    <w:uiPriority w:val="99"/>
    <w:unhideWhenUsed/>
    <w:rsid w:val="00C543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3D4"/>
  </w:style>
  <w:style w:type="character" w:customStyle="1" w:styleId="Heading1Char">
    <w:name w:val="Heading 1 Char"/>
    <w:basedOn w:val="DefaultParagraphFont"/>
    <w:link w:val="Heading1"/>
    <w:uiPriority w:val="9"/>
    <w:rsid w:val="00217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9DD"/>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
    <w:basedOn w:val="Normal"/>
    <w:link w:val="ListParagraphChar"/>
    <w:uiPriority w:val="99"/>
    <w:qFormat/>
    <w:rsid w:val="00DF39DD"/>
    <w:pPr>
      <w:ind w:left="720"/>
      <w:contextualSpacing/>
    </w:pPr>
  </w:style>
  <w:style w:type="paragraph" w:styleId="NoSpacing">
    <w:name w:val="No Spacing"/>
    <w:link w:val="NoSpacingChar"/>
    <w:uiPriority w:val="1"/>
    <w:qFormat/>
    <w:rsid w:val="005C2F40"/>
    <w:pPr>
      <w:spacing w:after="0" w:line="240" w:lineRule="auto"/>
    </w:pPr>
  </w:style>
  <w:style w:type="paragraph" w:styleId="FootnoteText">
    <w:name w:val="footnote text"/>
    <w:basedOn w:val="Normal"/>
    <w:link w:val="FootnoteTextChar"/>
    <w:uiPriority w:val="99"/>
    <w:semiHidden/>
    <w:unhideWhenUsed/>
    <w:rsid w:val="007B1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223"/>
    <w:rPr>
      <w:sz w:val="20"/>
      <w:szCs w:val="20"/>
    </w:rPr>
  </w:style>
  <w:style w:type="character" w:styleId="FootnoteReference">
    <w:name w:val="footnote reference"/>
    <w:aliases w:val="16 Point,Superscript 6 Point,Superscript 6 Point + 11 pt,ftref,Ref,de nota al pie,Odwołanie przypisu,Footnote symbol,Знак сноски-FN,Ciae niinee-FN,Знак сноски 1,Referencia nota al pie"/>
    <w:basedOn w:val="DefaultParagraphFont"/>
    <w:uiPriority w:val="99"/>
    <w:rsid w:val="007B1223"/>
    <w:rPr>
      <w:rFonts w:ascii="Arial" w:hAnsi="Arial" w:cs="Times New Roman"/>
      <w:sz w:val="18"/>
      <w:vertAlign w:val="superscript"/>
    </w:rPr>
  </w:style>
  <w:style w:type="paragraph" w:styleId="BodyText3">
    <w:name w:val="Body Text 3"/>
    <w:basedOn w:val="Normal"/>
    <w:link w:val="BodyText3Char"/>
    <w:uiPriority w:val="99"/>
    <w:semiHidden/>
    <w:unhideWhenUsed/>
    <w:rsid w:val="005808BA"/>
    <w:pPr>
      <w:spacing w:after="120"/>
    </w:pPr>
    <w:rPr>
      <w:sz w:val="16"/>
      <w:szCs w:val="16"/>
    </w:rPr>
  </w:style>
  <w:style w:type="character" w:customStyle="1" w:styleId="BodyText3Char">
    <w:name w:val="Body Text 3 Char"/>
    <w:basedOn w:val="DefaultParagraphFont"/>
    <w:link w:val="BodyText3"/>
    <w:uiPriority w:val="99"/>
    <w:semiHidden/>
    <w:rsid w:val="005808BA"/>
    <w:rPr>
      <w:sz w:val="16"/>
      <w:szCs w:val="16"/>
    </w:rPr>
  </w:style>
  <w:style w:type="character" w:styleId="CommentReference">
    <w:name w:val="annotation reference"/>
    <w:basedOn w:val="DefaultParagraphFont"/>
    <w:uiPriority w:val="99"/>
    <w:semiHidden/>
    <w:unhideWhenUsed/>
    <w:rsid w:val="00E12BA4"/>
    <w:rPr>
      <w:sz w:val="16"/>
      <w:szCs w:val="16"/>
    </w:rPr>
  </w:style>
  <w:style w:type="paragraph" w:styleId="CommentText">
    <w:name w:val="annotation text"/>
    <w:basedOn w:val="Normal"/>
    <w:link w:val="CommentTextChar"/>
    <w:uiPriority w:val="99"/>
    <w:semiHidden/>
    <w:unhideWhenUsed/>
    <w:rsid w:val="00E12BA4"/>
    <w:pPr>
      <w:spacing w:line="240" w:lineRule="auto"/>
    </w:pPr>
    <w:rPr>
      <w:sz w:val="20"/>
      <w:szCs w:val="20"/>
    </w:rPr>
  </w:style>
  <w:style w:type="character" w:customStyle="1" w:styleId="CommentTextChar">
    <w:name w:val="Comment Text Char"/>
    <w:basedOn w:val="DefaultParagraphFont"/>
    <w:link w:val="CommentText"/>
    <w:uiPriority w:val="99"/>
    <w:semiHidden/>
    <w:rsid w:val="00E12BA4"/>
    <w:rPr>
      <w:sz w:val="20"/>
      <w:szCs w:val="20"/>
    </w:rPr>
  </w:style>
  <w:style w:type="paragraph" w:styleId="CommentSubject">
    <w:name w:val="annotation subject"/>
    <w:basedOn w:val="CommentText"/>
    <w:next w:val="CommentText"/>
    <w:link w:val="CommentSubjectChar"/>
    <w:uiPriority w:val="99"/>
    <w:semiHidden/>
    <w:unhideWhenUsed/>
    <w:rsid w:val="00E12BA4"/>
    <w:rPr>
      <w:b/>
      <w:bCs/>
    </w:rPr>
  </w:style>
  <w:style w:type="character" w:customStyle="1" w:styleId="CommentSubjectChar">
    <w:name w:val="Comment Subject Char"/>
    <w:basedOn w:val="CommentTextChar"/>
    <w:link w:val="CommentSubject"/>
    <w:uiPriority w:val="99"/>
    <w:semiHidden/>
    <w:rsid w:val="00E12BA4"/>
    <w:rPr>
      <w:b/>
      <w:bCs/>
      <w:sz w:val="20"/>
      <w:szCs w:val="20"/>
    </w:rPr>
  </w:style>
  <w:style w:type="paragraph" w:styleId="Revision">
    <w:name w:val="Revision"/>
    <w:hidden/>
    <w:uiPriority w:val="99"/>
    <w:semiHidden/>
    <w:rsid w:val="00E12BA4"/>
    <w:pPr>
      <w:spacing w:after="0" w:line="240" w:lineRule="auto"/>
    </w:pPr>
  </w:style>
  <w:style w:type="paragraph" w:styleId="BalloonText">
    <w:name w:val="Balloon Text"/>
    <w:basedOn w:val="Normal"/>
    <w:link w:val="BalloonTextChar"/>
    <w:uiPriority w:val="99"/>
    <w:semiHidden/>
    <w:unhideWhenUsed/>
    <w:rsid w:val="00E1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A4"/>
    <w:rPr>
      <w:rFonts w:ascii="Segoe UI" w:hAnsi="Segoe UI" w:cs="Segoe UI"/>
      <w:sz w:val="18"/>
      <w:szCs w:val="18"/>
    </w:rPr>
  </w:style>
  <w:style w:type="table" w:styleId="TableGrid">
    <w:name w:val="Table Grid"/>
    <w:basedOn w:val="TableNormal"/>
    <w:rsid w:val="00EA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F1A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1A91"/>
    <w:rPr>
      <w:rFonts w:ascii="Consolas" w:hAnsi="Consolas"/>
      <w:sz w:val="21"/>
      <w:szCs w:val="21"/>
    </w:rPr>
  </w:style>
  <w:style w:type="paragraph" w:customStyle="1" w:styleId="Default">
    <w:name w:val="Default"/>
    <w:rsid w:val="009439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iPriority w:val="35"/>
    <w:unhideWhenUsed/>
    <w:qFormat/>
    <w:rsid w:val="007016E7"/>
    <w:pPr>
      <w:spacing w:after="200" w:line="240" w:lineRule="auto"/>
    </w:pPr>
    <w:rPr>
      <w:i/>
      <w:iCs/>
      <w:color w:val="44546A" w:themeColor="text2"/>
      <w:sz w:val="18"/>
      <w:szCs w:val="18"/>
    </w:rPr>
  </w:style>
  <w:style w:type="table" w:styleId="ListTable5Dark-Accent6">
    <w:name w:val="List Table 5 Dark Accent 6"/>
    <w:basedOn w:val="TableNormal"/>
    <w:uiPriority w:val="50"/>
    <w:rsid w:val="00010D5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010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rsid w:val="00BB4B68"/>
    <w:rPr>
      <w:rFonts w:cs="Times New Roman"/>
      <w:color w:val="0000FF"/>
      <w:u w:val="single"/>
    </w:rPr>
  </w:style>
  <w:style w:type="paragraph" w:styleId="TOC1">
    <w:name w:val="toc 1"/>
    <w:basedOn w:val="Normal"/>
    <w:next w:val="Normal"/>
    <w:autoRedefine/>
    <w:uiPriority w:val="39"/>
    <w:rsid w:val="00364C06"/>
    <w:pPr>
      <w:tabs>
        <w:tab w:val="left" w:pos="540"/>
        <w:tab w:val="right" w:leader="dot" w:pos="9304"/>
      </w:tabs>
      <w:spacing w:after="60" w:line="240" w:lineRule="auto"/>
      <w:jc w:val="both"/>
    </w:pPr>
    <w:rPr>
      <w:rFonts w:ascii="Calibri" w:eastAsiaTheme="minorEastAsia" w:hAnsi="Calibri" w:cs="Times New Roman"/>
      <w:noProof/>
      <w:szCs w:val="24"/>
      <w:lang w:val="en-US"/>
    </w:rPr>
  </w:style>
  <w:style w:type="paragraph" w:styleId="TOCHeading">
    <w:name w:val="TOC Heading"/>
    <w:basedOn w:val="Heading1"/>
    <w:next w:val="Normal"/>
    <w:uiPriority w:val="39"/>
    <w:unhideWhenUsed/>
    <w:qFormat/>
    <w:rsid w:val="00BB4B68"/>
    <w:pPr>
      <w:spacing w:before="480" w:line="276" w:lineRule="auto"/>
      <w:outlineLvl w:val="9"/>
    </w:pPr>
    <w:rPr>
      <w:b/>
      <w:bCs/>
      <w:sz w:val="28"/>
      <w:szCs w:val="28"/>
      <w:lang w:val="en-US"/>
    </w:rPr>
  </w:style>
  <w:style w:type="character" w:customStyle="1" w:styleId="NoSpacingChar">
    <w:name w:val="No Spacing Char"/>
    <w:basedOn w:val="DefaultParagraphFont"/>
    <w:link w:val="NoSpacing"/>
    <w:uiPriority w:val="1"/>
    <w:rsid w:val="00BB4B68"/>
  </w:style>
  <w:style w:type="character" w:customStyle="1" w:styleId="ListParagraphChar">
    <w:name w:val="List Paragraph Char"/>
    <w:aliases w:val="List Paragraph1 Char"/>
    <w:link w:val="ListParagraph"/>
    <w:uiPriority w:val="99"/>
    <w:rsid w:val="00BB4B68"/>
  </w:style>
  <w:style w:type="paragraph" w:styleId="TOC2">
    <w:name w:val="toc 2"/>
    <w:basedOn w:val="Normal"/>
    <w:next w:val="Normal"/>
    <w:autoRedefine/>
    <w:uiPriority w:val="39"/>
    <w:unhideWhenUsed/>
    <w:rsid w:val="00BB4B68"/>
    <w:pPr>
      <w:spacing w:after="100"/>
      <w:ind w:left="220"/>
    </w:pPr>
  </w:style>
  <w:style w:type="character" w:customStyle="1" w:styleId="Heading3Char">
    <w:name w:val="Heading 3 Char"/>
    <w:basedOn w:val="DefaultParagraphFont"/>
    <w:link w:val="Heading3"/>
    <w:uiPriority w:val="9"/>
    <w:semiHidden/>
    <w:rsid w:val="00BB4B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4B6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4B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B4B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B4B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4B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B68"/>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4336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666"/>
    <w:rPr>
      <w:sz w:val="20"/>
      <w:szCs w:val="20"/>
    </w:rPr>
  </w:style>
  <w:style w:type="character" w:styleId="EndnoteReference">
    <w:name w:val="endnote reference"/>
    <w:basedOn w:val="DefaultParagraphFont"/>
    <w:uiPriority w:val="99"/>
    <w:semiHidden/>
    <w:unhideWhenUsed/>
    <w:rsid w:val="00433666"/>
    <w:rPr>
      <w:vertAlign w:val="superscript"/>
    </w:rPr>
  </w:style>
  <w:style w:type="paragraph" w:styleId="IntenseQuote">
    <w:name w:val="Intense Quote"/>
    <w:basedOn w:val="Normal"/>
    <w:next w:val="Normal"/>
    <w:link w:val="IntenseQuoteChar"/>
    <w:uiPriority w:val="30"/>
    <w:qFormat/>
    <w:rsid w:val="000624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2469"/>
    <w:rPr>
      <w:i/>
      <w:iCs/>
      <w:color w:val="5B9BD5" w:themeColor="accent1"/>
    </w:rPr>
  </w:style>
  <w:style w:type="table" w:styleId="GridTable4-Accent6">
    <w:name w:val="Grid Table 4 Accent 6"/>
    <w:basedOn w:val="TableNormal"/>
    <w:uiPriority w:val="49"/>
    <w:rsid w:val="00715D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Indent2">
    <w:name w:val="Body Text Indent 2"/>
    <w:basedOn w:val="Normal"/>
    <w:link w:val="BodyTextIndent2Char"/>
    <w:uiPriority w:val="99"/>
    <w:semiHidden/>
    <w:unhideWhenUsed/>
    <w:rsid w:val="002563DD"/>
    <w:pPr>
      <w:spacing w:after="120" w:line="480" w:lineRule="auto"/>
      <w:ind w:left="360"/>
    </w:pPr>
  </w:style>
  <w:style w:type="character" w:customStyle="1" w:styleId="BodyTextIndent2Char">
    <w:name w:val="Body Text Indent 2 Char"/>
    <w:basedOn w:val="DefaultParagraphFont"/>
    <w:link w:val="BodyTextIndent2"/>
    <w:uiPriority w:val="99"/>
    <w:semiHidden/>
    <w:rsid w:val="002563DD"/>
  </w:style>
  <w:style w:type="character" w:customStyle="1" w:styleId="normaltextrun">
    <w:name w:val="normaltextrun"/>
    <w:basedOn w:val="DefaultParagraphFont"/>
    <w:rsid w:val="00565095"/>
  </w:style>
  <w:style w:type="character" w:customStyle="1" w:styleId="eop">
    <w:name w:val="eop"/>
    <w:basedOn w:val="DefaultParagraphFont"/>
    <w:rsid w:val="0056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802">
      <w:bodyDiv w:val="1"/>
      <w:marLeft w:val="0"/>
      <w:marRight w:val="0"/>
      <w:marTop w:val="0"/>
      <w:marBottom w:val="1800"/>
      <w:divBdr>
        <w:top w:val="none" w:sz="0" w:space="0" w:color="auto"/>
        <w:left w:val="none" w:sz="0" w:space="0" w:color="auto"/>
        <w:bottom w:val="none" w:sz="0" w:space="0" w:color="auto"/>
        <w:right w:val="none" w:sz="0" w:space="0" w:color="auto"/>
      </w:divBdr>
      <w:divsChild>
        <w:div w:id="1922521204">
          <w:marLeft w:val="0"/>
          <w:marRight w:val="0"/>
          <w:marTop w:val="0"/>
          <w:marBottom w:val="0"/>
          <w:divBdr>
            <w:top w:val="none" w:sz="0" w:space="0" w:color="auto"/>
            <w:left w:val="none" w:sz="0" w:space="0" w:color="auto"/>
            <w:bottom w:val="none" w:sz="0" w:space="0" w:color="auto"/>
            <w:right w:val="none" w:sz="0" w:space="0" w:color="auto"/>
          </w:divBdr>
          <w:divsChild>
            <w:div w:id="41903104">
              <w:marLeft w:val="-225"/>
              <w:marRight w:val="-225"/>
              <w:marTop w:val="0"/>
              <w:marBottom w:val="0"/>
              <w:divBdr>
                <w:top w:val="none" w:sz="0" w:space="0" w:color="auto"/>
                <w:left w:val="none" w:sz="0" w:space="0" w:color="auto"/>
                <w:bottom w:val="none" w:sz="0" w:space="0" w:color="auto"/>
                <w:right w:val="none" w:sz="0" w:space="0" w:color="auto"/>
              </w:divBdr>
              <w:divsChild>
                <w:div w:id="19232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8135">
      <w:bodyDiv w:val="1"/>
      <w:marLeft w:val="0"/>
      <w:marRight w:val="0"/>
      <w:marTop w:val="0"/>
      <w:marBottom w:val="0"/>
      <w:divBdr>
        <w:top w:val="none" w:sz="0" w:space="0" w:color="auto"/>
        <w:left w:val="none" w:sz="0" w:space="0" w:color="auto"/>
        <w:bottom w:val="none" w:sz="0" w:space="0" w:color="auto"/>
        <w:right w:val="none" w:sz="0" w:space="0" w:color="auto"/>
      </w:divBdr>
    </w:div>
    <w:div w:id="570968156">
      <w:bodyDiv w:val="1"/>
      <w:marLeft w:val="0"/>
      <w:marRight w:val="0"/>
      <w:marTop w:val="0"/>
      <w:marBottom w:val="0"/>
      <w:divBdr>
        <w:top w:val="none" w:sz="0" w:space="0" w:color="auto"/>
        <w:left w:val="none" w:sz="0" w:space="0" w:color="auto"/>
        <w:bottom w:val="none" w:sz="0" w:space="0" w:color="auto"/>
        <w:right w:val="none" w:sz="0" w:space="0" w:color="auto"/>
      </w:divBdr>
    </w:div>
    <w:div w:id="1319072491">
      <w:bodyDiv w:val="1"/>
      <w:marLeft w:val="0"/>
      <w:marRight w:val="0"/>
      <w:marTop w:val="0"/>
      <w:marBottom w:val="0"/>
      <w:divBdr>
        <w:top w:val="none" w:sz="0" w:space="0" w:color="auto"/>
        <w:left w:val="none" w:sz="0" w:space="0" w:color="auto"/>
        <w:bottom w:val="none" w:sz="0" w:space="0" w:color="auto"/>
        <w:right w:val="none" w:sz="0" w:space="0" w:color="auto"/>
      </w:divBdr>
    </w:div>
    <w:div w:id="1625692837">
      <w:bodyDiv w:val="1"/>
      <w:marLeft w:val="0"/>
      <w:marRight w:val="0"/>
      <w:marTop w:val="0"/>
      <w:marBottom w:val="0"/>
      <w:divBdr>
        <w:top w:val="none" w:sz="0" w:space="0" w:color="auto"/>
        <w:left w:val="none" w:sz="0" w:space="0" w:color="auto"/>
        <w:bottom w:val="none" w:sz="0" w:space="0" w:color="auto"/>
        <w:right w:val="none" w:sz="0" w:space="0" w:color="auto"/>
      </w:divBdr>
    </w:div>
    <w:div w:id="16707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undp/en/home/operations/accountability/evaluation/evaluation_policyofundp.html" TargetMode="External"/><Relationship Id="rId18" Type="http://schemas.openxmlformats.org/officeDocument/2006/relationships/header" Target="header1.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hyperlink" Target="http://www.un.org/sc/committees/1267/aq_sanctions_list.shtml"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info.undp.org/global/popp/ppm/Pages/Closing-a-Projec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ndp.org/content/undp/en/home/operations/accountability/programme_and_operationspoliciesandprocedures.html" TargetMode="External"/><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gef.org/gef/Evaluation%20Policy%20201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2018-02-23T16:00:00+00:00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Suriname</TermName>
          <TermId xmlns="http://schemas.microsoft.com/office/infopath/2007/PartnerControls">0ede38b1-6473-479f-95ba-0202f30a1918</TermId>
        </TermInfo>
      </Terms>
    </UNDPCountryTaxHTField0>
    <UndpOUCode xmlns="1ed4137b-41b2-488b-8250-6d369ec27664">SUR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Forest ecosystems</TermName>
          <TermId xmlns="http://schemas.microsoft.com/office/infopath/2007/PartnerControls">3120b006-9187-4ae1-99ac-9595435655f7</TermId>
        </TermInfo>
        <TermInfo xmlns="http://schemas.microsoft.com/office/infopath/2007/PartnerControls">
          <TermName xmlns="http://schemas.microsoft.com/office/infopath/2007/PartnerControls">Integrated ecosystem management</TermName>
          <TermId xmlns="http://schemas.microsoft.com/office/infopath/2007/PartnerControls">c803c448-40d7-491a-bb7d-fd7b1158d42a</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1639</Value>
      <Value>1633</Value>
      <Value>1110</Value>
      <Value>580</Value>
      <Value>1</Value>
      <Value>561</Value>
    </TaxCatchAll>
    <c4e2ab2cc9354bbf9064eeb465a566ea xmlns="1ed4137b-41b2-488b-8250-6d369ec27664">
      <Terms xmlns="http://schemas.microsoft.com/office/infopath/2007/PartnerControls"/>
    </c4e2ab2cc9354bbf9064eeb465a566ea>
    <UndpProjectNo xmlns="1ed4137b-41b2-488b-8250-6d369ec27664">00099303</UndpProjectNo>
    <UndpDocStatus xmlns="1ed4137b-41b2-488b-8250-6d369ec27664">Final</UndpDocStatus>
    <Outcome1 xmlns="f1161f5b-24a3-4c2d-bc81-44cb9325e8ee">00102618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SUR</TermName>
          <TermId xmlns="http://schemas.microsoft.com/office/infopath/2007/PartnerControls">1a7b0f45-293a-4d7f-b729-7eeb0483df1e</TermId>
        </TermInfo>
      </Terms>
    </gc6531b704974d528487414686b72f6f>
    <_dlc_DocId xmlns="f1161f5b-24a3-4c2d-bc81-44cb9325e8ee">ATLASPDC-4-79316</_dlc_DocId>
    <_dlc_DocIdUrl xmlns="f1161f5b-24a3-4c2d-bc81-44cb9325e8ee">
      <Url>https://info.undp.org/docs/pdc/_layouts/DocIdRedir.aspx?ID=ATLASPDC-4-79316</Url>
      <Description>ATLASPDC-4-79316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28A1A81-3815-4D95-9272-3798B7A46A64}">
  <ds:schemaRefs>
    <ds:schemaRef ds:uri="http://schemas.openxmlformats.org/officeDocument/2006/bibliography"/>
  </ds:schemaRefs>
</ds:datastoreItem>
</file>

<file path=customXml/itemProps2.xml><?xml version="1.0" encoding="utf-8"?>
<ds:datastoreItem xmlns:ds="http://schemas.openxmlformats.org/officeDocument/2006/customXml" ds:itemID="{4F5D8A5B-23D1-452E-8634-EB8A2E0418FF}"/>
</file>

<file path=customXml/itemProps3.xml><?xml version="1.0" encoding="utf-8"?>
<ds:datastoreItem xmlns:ds="http://schemas.openxmlformats.org/officeDocument/2006/customXml" ds:itemID="{A84529FC-07EF-462F-9272-D3E8FE92F3B1}"/>
</file>

<file path=customXml/itemProps4.xml><?xml version="1.0" encoding="utf-8"?>
<ds:datastoreItem xmlns:ds="http://schemas.openxmlformats.org/officeDocument/2006/customXml" ds:itemID="{FBD3DD1D-714D-42D8-A879-929EEE0AA5CF}"/>
</file>

<file path=customXml/itemProps5.xml><?xml version="1.0" encoding="utf-8"?>
<ds:datastoreItem xmlns:ds="http://schemas.openxmlformats.org/officeDocument/2006/customXml" ds:itemID="{F5BBAF00-202E-43C3-8769-355FD2E4D6B9}"/>
</file>

<file path=customXml/itemProps6.xml><?xml version="1.0" encoding="utf-8"?>
<ds:datastoreItem xmlns:ds="http://schemas.openxmlformats.org/officeDocument/2006/customXml" ds:itemID="{5ECD6E5C-401A-4305-8031-843D81B7351F}"/>
</file>

<file path=docProps/app.xml><?xml version="1.0" encoding="utf-8"?>
<Properties xmlns="http://schemas.openxmlformats.org/officeDocument/2006/extended-properties" xmlns:vt="http://schemas.openxmlformats.org/officeDocument/2006/docPropsVTypes">
  <Template>Normal</Template>
  <TotalTime>1</TotalTime>
  <Pages>39</Pages>
  <Words>14529</Words>
  <Characters>82821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National Action Plan Artisanal and Small Scale Goldmining (ASGM) </dc:title>
  <dc:subject/>
  <dc:creator>UNDP</dc:creator>
  <cp:keywords/>
  <dc:description/>
  <cp:lastModifiedBy>Bryan Drakenstein</cp:lastModifiedBy>
  <cp:revision>2</cp:revision>
  <dcterms:created xsi:type="dcterms:W3CDTF">2017-12-20T12:23:00Z</dcterms:created>
  <dcterms:modified xsi:type="dcterms:W3CDTF">2017-12-20T12:23:00Z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1639;#Suriname|0ede38b1-6473-479f-95ba-0202f30a1918</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1633;#SUR|1a7b0f45-293a-4d7f-b729-7eeb0483df1e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580;#Forest ecosystems|3120b006-9187-4ae1-99ac-9595435655f7;#561;#Integrated ecosystem management|c803c448-40d7-491a-bb7d-fd7b1158d42a</vt:lpwstr>
  </property>
  <property fmtid="{D5CDD505-2E9C-101B-9397-08002B2CF9AE}" pid="13" name="_dlc_DocIdItemGuid">
    <vt:lpwstr>eb084894-3f38-47f6-a923-ba3f684748dd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